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AE2D" w14:textId="513D54AC" w:rsidR="0098020D" w:rsidRDefault="0098020D" w:rsidP="0098020D">
      <w:pPr>
        <w:jc w:val="center"/>
        <w:rPr>
          <w:b/>
          <w:bCs/>
        </w:rPr>
      </w:pPr>
      <w:r>
        <w:rPr>
          <w:b/>
          <w:bCs/>
        </w:rPr>
        <w:t>Orchard HOA – Summary of Feedback and Proposed Modifications to the Draft Declaration</w:t>
      </w:r>
    </w:p>
    <w:p w14:paraId="1E0CB8B0" w14:textId="080EA1E6" w:rsidR="0098020D" w:rsidRPr="00FB00FD" w:rsidRDefault="0098020D" w:rsidP="0098020D">
      <w:r w:rsidRPr="00FB00FD">
        <w:rPr>
          <w:b/>
          <w:bCs/>
        </w:rPr>
        <w:t>1. Trailers, RVs, and Boats (Section 5.11)</w:t>
      </w:r>
    </w:p>
    <w:p w14:paraId="6915EC4F" w14:textId="5BA47226" w:rsidR="0098020D" w:rsidRPr="00FB00FD" w:rsidRDefault="0098020D" w:rsidP="0098020D">
      <w:pPr>
        <w:numPr>
          <w:ilvl w:val="0"/>
          <w:numId w:val="1"/>
        </w:numPr>
      </w:pPr>
      <w:r w:rsidRPr="00FB00FD">
        <w:t xml:space="preserve">Many </w:t>
      </w:r>
      <w:proofErr w:type="gramStart"/>
      <w:r w:rsidRPr="00FB00FD">
        <w:t>support</w:t>
      </w:r>
      <w:proofErr w:type="gramEnd"/>
      <w:r w:rsidRPr="00FB00FD">
        <w:t xml:space="preserve"> limiting long-term storage of trailers, RVs, and boats </w:t>
      </w:r>
      <w:r w:rsidR="00C27278">
        <w:t xml:space="preserve">in driveways </w:t>
      </w:r>
      <w:r w:rsidRPr="00FB00FD">
        <w:t>but want </w:t>
      </w:r>
      <w:r w:rsidRPr="00FB00FD">
        <w:rPr>
          <w:b/>
          <w:bCs/>
        </w:rPr>
        <w:t>reasonable short-term allowances</w:t>
      </w:r>
      <w:r>
        <w:rPr>
          <w:b/>
          <w:bCs/>
        </w:rPr>
        <w:t xml:space="preserve"> </w:t>
      </w:r>
      <w:r>
        <w:t>for various activities.</w:t>
      </w:r>
    </w:p>
    <w:p w14:paraId="091791A2" w14:textId="3E58CFFF" w:rsidR="0098020D" w:rsidRPr="00FB00FD" w:rsidRDefault="0098020D" w:rsidP="0098020D">
      <w:pPr>
        <w:numPr>
          <w:ilvl w:val="0"/>
          <w:numId w:val="1"/>
        </w:numPr>
      </w:pPr>
      <w:r w:rsidRPr="00FB00FD">
        <w:t>Owners seek clear rules allowing </w:t>
      </w:r>
      <w:r w:rsidRPr="00FB00FD">
        <w:rPr>
          <w:b/>
          <w:bCs/>
        </w:rPr>
        <w:t xml:space="preserve">temporary presence for loading, cleaning, </w:t>
      </w:r>
      <w:r>
        <w:rPr>
          <w:b/>
          <w:bCs/>
        </w:rPr>
        <w:t xml:space="preserve">fixing, </w:t>
      </w:r>
      <w:r w:rsidRPr="00FB00FD">
        <w:rPr>
          <w:b/>
          <w:bCs/>
        </w:rPr>
        <w:t>or trip preparation</w:t>
      </w:r>
      <w:r w:rsidRPr="00FB00FD">
        <w:t>.</w:t>
      </w:r>
    </w:p>
    <w:p w14:paraId="683A9BC9" w14:textId="1C0898FC" w:rsidR="0098020D" w:rsidRPr="00FB00FD" w:rsidRDefault="0098020D" w:rsidP="0098020D">
      <w:pPr>
        <w:numPr>
          <w:ilvl w:val="0"/>
          <w:numId w:val="1"/>
        </w:numPr>
      </w:pPr>
      <w:r w:rsidRPr="00FB00FD">
        <w:t xml:space="preserve">Several request </w:t>
      </w:r>
      <w:proofErr w:type="gramStart"/>
      <w:r w:rsidR="00162D83" w:rsidRPr="00FB00FD">
        <w:t>permission</w:t>
      </w:r>
      <w:proofErr w:type="gramEnd"/>
      <w:r w:rsidRPr="00FB00FD">
        <w:t xml:space="preserve"> to </w:t>
      </w:r>
      <w:r w:rsidRPr="00FB00FD">
        <w:rPr>
          <w:b/>
          <w:bCs/>
        </w:rPr>
        <w:t>store such items behind privacy fences</w:t>
      </w:r>
      <w:r w:rsidRPr="00FB00FD">
        <w:t> if </w:t>
      </w:r>
      <w:r w:rsidRPr="00FB00FD">
        <w:rPr>
          <w:b/>
          <w:bCs/>
        </w:rPr>
        <w:t>not visible from the street or neighbors</w:t>
      </w:r>
      <w:r w:rsidRPr="00FB00FD">
        <w:t>; suggest adding </w:t>
      </w:r>
      <w:r w:rsidRPr="00FB00FD">
        <w:rPr>
          <w:b/>
          <w:bCs/>
        </w:rPr>
        <w:t>size/height limits</w:t>
      </w:r>
      <w:r w:rsidRPr="00FB00FD">
        <w:t> (e.g., ≤6 ft near fence lines).</w:t>
      </w:r>
    </w:p>
    <w:p w14:paraId="2B77671B" w14:textId="77777777" w:rsidR="0098020D" w:rsidRDefault="0098020D" w:rsidP="0098020D">
      <w:pPr>
        <w:numPr>
          <w:ilvl w:val="0"/>
          <w:numId w:val="1"/>
        </w:numPr>
      </w:pPr>
      <w:r w:rsidRPr="00FB00FD">
        <w:t>Some question whether the HOA has jurisdiction over </w:t>
      </w:r>
      <w:r w:rsidRPr="00FB00FD">
        <w:rPr>
          <w:b/>
          <w:bCs/>
        </w:rPr>
        <w:t>street parking</w:t>
      </w:r>
      <w:r w:rsidRPr="00FB00FD">
        <w:t>, given Jefferson County retains right-of-way control.</w:t>
      </w:r>
    </w:p>
    <w:p w14:paraId="1EBB3EAB" w14:textId="59FE8C48" w:rsidR="0098020D" w:rsidRPr="00FB00FD" w:rsidRDefault="0098020D" w:rsidP="0098020D">
      <w:r>
        <w:rPr>
          <w:b/>
          <w:bCs/>
        </w:rPr>
        <w:t>Proposed Amendments</w:t>
      </w:r>
      <w:r w:rsidRPr="00FB00FD">
        <w:rPr>
          <w:b/>
          <w:bCs/>
        </w:rPr>
        <w:t>:</w:t>
      </w:r>
    </w:p>
    <w:p w14:paraId="105FE105" w14:textId="684290F7" w:rsidR="0098020D" w:rsidRPr="00FB00FD" w:rsidRDefault="0098020D" w:rsidP="0098020D">
      <w:pPr>
        <w:numPr>
          <w:ilvl w:val="0"/>
          <w:numId w:val="18"/>
        </w:numPr>
      </w:pPr>
      <w:r w:rsidRPr="00FB00FD">
        <w:t>Amend to </w:t>
      </w:r>
      <w:r w:rsidRPr="00FB00FD">
        <w:rPr>
          <w:b/>
          <w:bCs/>
        </w:rPr>
        <w:t xml:space="preserve">allow </w:t>
      </w:r>
      <w:r w:rsidR="00162D83">
        <w:rPr>
          <w:b/>
          <w:bCs/>
        </w:rPr>
        <w:t>u</w:t>
      </w:r>
      <w:r w:rsidR="00162D83" w:rsidRPr="00162D83">
        <w:rPr>
          <w:b/>
          <w:bCs/>
        </w:rPr>
        <w:t xml:space="preserve">p to 7 </w:t>
      </w:r>
      <w:r w:rsidR="00C27278">
        <w:rPr>
          <w:b/>
          <w:bCs/>
        </w:rPr>
        <w:t xml:space="preserve">days </w:t>
      </w:r>
      <w:r w:rsidR="00162D83" w:rsidRPr="00162D83">
        <w:rPr>
          <w:b/>
          <w:bCs/>
        </w:rPr>
        <w:t>loading, cleaning, winterizing</w:t>
      </w:r>
      <w:r w:rsidR="00C27278">
        <w:rPr>
          <w:b/>
          <w:bCs/>
        </w:rPr>
        <w:t>, repairs, etc</w:t>
      </w:r>
      <w:r w:rsidR="00162D83" w:rsidRPr="00162D83">
        <w:rPr>
          <w:b/>
          <w:bCs/>
        </w:rPr>
        <w:t>.</w:t>
      </w:r>
      <w:r>
        <w:t xml:space="preserve"> Clarify that Jefferson County only allows 72 hours for similar storage on the public road running through the Orchard.</w:t>
      </w:r>
    </w:p>
    <w:p w14:paraId="49482773" w14:textId="2D8BDBF9" w:rsidR="0098020D" w:rsidRPr="00FB00FD" w:rsidRDefault="0098020D" w:rsidP="0098020D">
      <w:pPr>
        <w:numPr>
          <w:ilvl w:val="0"/>
          <w:numId w:val="18"/>
        </w:numPr>
      </w:pPr>
      <w:r>
        <w:t>Amend to allow</w:t>
      </w:r>
      <w:r w:rsidRPr="00FB00FD">
        <w:t xml:space="preserve"> </w:t>
      </w:r>
      <w:r w:rsidR="00162D83">
        <w:t>backyard storage for</w:t>
      </w:r>
      <w:r w:rsidRPr="00FB00FD">
        <w:t> </w:t>
      </w:r>
      <w:r w:rsidR="00162D83">
        <w:rPr>
          <w:b/>
          <w:bCs/>
        </w:rPr>
        <w:t>o</w:t>
      </w:r>
      <w:r w:rsidR="00162D83" w:rsidRPr="00162D83">
        <w:rPr>
          <w:b/>
          <w:bCs/>
        </w:rPr>
        <w:t>ne (1) such item total (trailer, RV, or boat)</w:t>
      </w:r>
      <w:r w:rsidR="00162D83" w:rsidRPr="00162D83">
        <w:t xml:space="preserve"> visible at grade from streets or adjoining lots.</w:t>
      </w:r>
      <w:r w:rsidR="00162D83">
        <w:t xml:space="preserve"> </w:t>
      </w:r>
      <w:r w:rsidR="00C27278">
        <w:t xml:space="preserve">Other such items must be </w:t>
      </w:r>
      <w:r w:rsidR="00162D83" w:rsidRPr="00162D83">
        <w:t>“</w:t>
      </w:r>
      <w:r w:rsidR="00C27278">
        <w:t>n</w:t>
      </w:r>
      <w:r w:rsidR="00162D83" w:rsidRPr="00162D83">
        <w:t>ot visible” = </w:t>
      </w:r>
      <w:r w:rsidR="00162D83" w:rsidRPr="00162D83">
        <w:rPr>
          <w:b/>
          <w:bCs/>
        </w:rPr>
        <w:t>no point of the item exceeds the top of the solid fence</w:t>
      </w:r>
      <w:r w:rsidR="00162D83" w:rsidRPr="00162D83">
        <w:t> when measured </w:t>
      </w:r>
      <w:r w:rsidR="00162D83" w:rsidRPr="00162D83">
        <w:rPr>
          <w:b/>
          <w:bCs/>
        </w:rPr>
        <w:t>perpendicular to the fence</w:t>
      </w:r>
      <w:r w:rsidR="00162D83" w:rsidRPr="00162D83">
        <w:t>; or require </w:t>
      </w:r>
      <w:r w:rsidR="00162D83" w:rsidRPr="00162D83">
        <w:rPr>
          <w:b/>
          <w:bCs/>
        </w:rPr>
        <w:t>opaque screening</w:t>
      </w:r>
      <w:r w:rsidR="00162D83">
        <w:rPr>
          <w:b/>
          <w:bCs/>
        </w:rPr>
        <w:t>.</w:t>
      </w:r>
    </w:p>
    <w:p w14:paraId="701E4E2D" w14:textId="7EC03B86" w:rsidR="0098020D" w:rsidRPr="00FB00FD" w:rsidRDefault="0098020D" w:rsidP="0098020D">
      <w:pPr>
        <w:numPr>
          <w:ilvl w:val="0"/>
          <w:numId w:val="19"/>
        </w:numPr>
      </w:pPr>
      <w:r w:rsidRPr="00FB00FD">
        <w:t>Draft clear, enforceable language consistent with </w:t>
      </w:r>
      <w:r w:rsidRPr="00FB00FD">
        <w:rPr>
          <w:b/>
          <w:bCs/>
        </w:rPr>
        <w:t>Jefferson County right-of-way laws</w:t>
      </w:r>
      <w:r w:rsidRPr="00FB00FD">
        <w:t>.</w:t>
      </w:r>
      <w:r>
        <w:t xml:space="preserve"> Remove any reference to private streets, which do not exist in the Orchard. </w:t>
      </w:r>
      <w:r w:rsidRPr="00FB00FD">
        <w:t>Ensure the HOA isn’t overstepping jurisdiction (e.g., cannot regulate street parking outside community property).</w:t>
      </w:r>
      <w:r w:rsidR="00162D83" w:rsidRPr="00162D83">
        <w:rPr>
          <w:b/>
          <w:bCs/>
          <w:color w:val="000000"/>
        </w:rPr>
        <w:t xml:space="preserve"> </w:t>
      </w:r>
      <w:r w:rsidR="00162D83" w:rsidRPr="00162D83">
        <w:rPr>
          <w:b/>
          <w:bCs/>
        </w:rPr>
        <w:t>ROW disclaimer:</w:t>
      </w:r>
      <w:r w:rsidR="00162D83" w:rsidRPr="00162D83">
        <w:t> “Nothing herein regulates </w:t>
      </w:r>
      <w:r w:rsidR="00162D83" w:rsidRPr="00162D83">
        <w:rPr>
          <w:b/>
          <w:bCs/>
        </w:rPr>
        <w:t>public ROW</w:t>
      </w:r>
      <w:r w:rsidR="00162D83" w:rsidRPr="00162D83">
        <w:t>; county rules control street parking.”</w:t>
      </w:r>
    </w:p>
    <w:p w14:paraId="76F4CD36" w14:textId="77777777" w:rsidR="0098020D" w:rsidRPr="00FB00FD" w:rsidRDefault="00C27278" w:rsidP="0098020D">
      <w:r>
        <w:rPr>
          <w:noProof/>
        </w:rPr>
      </w:r>
      <w:r w:rsidR="00C27278">
        <w:rPr>
          <w:noProof/>
        </w:rPr>
        <w:pict w14:anchorId="799BA8E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8718342" w14:textId="77777777" w:rsidR="0098020D" w:rsidRPr="00FB00FD" w:rsidRDefault="0098020D" w:rsidP="0098020D">
      <w:pPr>
        <w:rPr>
          <w:b/>
          <w:bCs/>
        </w:rPr>
      </w:pPr>
      <w:r w:rsidRPr="00FB00FD">
        <w:rPr>
          <w:b/>
          <w:bCs/>
        </w:rPr>
        <w:t>2. Vehicle Limits and Parking (Section 5.11(b))</w:t>
      </w:r>
    </w:p>
    <w:p w14:paraId="25C5515F" w14:textId="77777777" w:rsidR="0098020D" w:rsidRPr="00FB00FD" w:rsidRDefault="0098020D" w:rsidP="0098020D">
      <w:pPr>
        <w:numPr>
          <w:ilvl w:val="0"/>
          <w:numId w:val="2"/>
        </w:numPr>
      </w:pPr>
      <w:r>
        <w:t>C</w:t>
      </w:r>
      <w:r w:rsidRPr="00FB00FD">
        <w:t>oncern that the proposed </w:t>
      </w:r>
      <w:r w:rsidRPr="00FB00FD">
        <w:rPr>
          <w:b/>
          <w:bCs/>
        </w:rPr>
        <w:t>5-vehicle limit per lot</w:t>
      </w:r>
      <w:r w:rsidRPr="00FB00FD">
        <w:t> is too rigid.</w:t>
      </w:r>
    </w:p>
    <w:p w14:paraId="1DCF6D8D" w14:textId="77777777" w:rsidR="0098020D" w:rsidRPr="00FB00FD" w:rsidRDefault="0098020D" w:rsidP="0098020D">
      <w:pPr>
        <w:numPr>
          <w:ilvl w:val="0"/>
          <w:numId w:val="2"/>
        </w:numPr>
      </w:pPr>
      <w:r w:rsidRPr="00FB00FD">
        <w:t>Requests to tie limits to </w:t>
      </w:r>
      <w:r w:rsidRPr="00FB00FD">
        <w:rPr>
          <w:b/>
          <w:bCs/>
        </w:rPr>
        <w:t>driveway capacity</w:t>
      </w:r>
      <w:r w:rsidRPr="00FB00FD">
        <w:t> (e.g., “as many as fit on a paved driveway”) rather than a fixed number.</w:t>
      </w:r>
    </w:p>
    <w:p w14:paraId="39AA6B00" w14:textId="77777777" w:rsidR="0098020D" w:rsidRPr="00FB00FD" w:rsidRDefault="0098020D" w:rsidP="0098020D">
      <w:pPr>
        <w:numPr>
          <w:ilvl w:val="0"/>
          <w:numId w:val="2"/>
        </w:numPr>
      </w:pPr>
      <w:r w:rsidRPr="00FB00FD">
        <w:t>Several ask for clarification that the rule applies to </w:t>
      </w:r>
      <w:r w:rsidRPr="00FB00FD">
        <w:rPr>
          <w:b/>
          <w:bCs/>
        </w:rPr>
        <w:t>resident vehicles</w:t>
      </w:r>
      <w:r w:rsidRPr="00FB00FD">
        <w:t>, not </w:t>
      </w:r>
      <w:r w:rsidRPr="00FB00FD">
        <w:rPr>
          <w:b/>
          <w:bCs/>
        </w:rPr>
        <w:t>visitors</w:t>
      </w:r>
      <w:r w:rsidRPr="00FB00FD">
        <w:t>.</w:t>
      </w:r>
    </w:p>
    <w:p w14:paraId="59D7C25B" w14:textId="77777777" w:rsidR="0098020D" w:rsidRDefault="0098020D" w:rsidP="0098020D">
      <w:pPr>
        <w:numPr>
          <w:ilvl w:val="0"/>
          <w:numId w:val="2"/>
        </w:numPr>
      </w:pPr>
      <w:r w:rsidRPr="00FB00FD">
        <w:t>Suggestions to add language discouraging </w:t>
      </w:r>
      <w:r w:rsidRPr="00FB00FD">
        <w:rPr>
          <w:b/>
          <w:bCs/>
        </w:rPr>
        <w:t>blocking neighbors’ driveways</w:t>
      </w:r>
      <w:r w:rsidRPr="00FB00FD">
        <w:t> or obstructing safe backing out.</w:t>
      </w:r>
    </w:p>
    <w:p w14:paraId="4547F15A" w14:textId="1EC86516" w:rsidR="0098020D" w:rsidRPr="00FB00FD" w:rsidRDefault="0098020D" w:rsidP="0098020D">
      <w:r>
        <w:rPr>
          <w:b/>
          <w:bCs/>
        </w:rPr>
        <w:t>Proposed Amendments</w:t>
      </w:r>
      <w:r w:rsidRPr="00FB00FD">
        <w:rPr>
          <w:b/>
          <w:bCs/>
        </w:rPr>
        <w:t>:</w:t>
      </w:r>
    </w:p>
    <w:p w14:paraId="19B0090A" w14:textId="121E6C16" w:rsidR="0098020D" w:rsidRDefault="0098020D" w:rsidP="00C27278">
      <w:pPr>
        <w:numPr>
          <w:ilvl w:val="0"/>
          <w:numId w:val="20"/>
        </w:numPr>
      </w:pPr>
      <w:r w:rsidRPr="00FB00FD">
        <w:t>Revise from a fixed “5 vehicle cap” to a </w:t>
      </w:r>
      <w:r w:rsidRPr="00FB00FD">
        <w:rPr>
          <w:b/>
          <w:bCs/>
        </w:rPr>
        <w:t>capacity-based standard</w:t>
      </w:r>
      <w:r w:rsidRPr="00FB00FD">
        <w:t>:</w:t>
      </w:r>
      <w:r>
        <w:t xml:space="preserve"> </w:t>
      </w:r>
      <w:r w:rsidRPr="00FB00FD">
        <w:t xml:space="preserve">“Vehicles must be parked on paved surfaces within the driveway and </w:t>
      </w:r>
      <w:proofErr w:type="gramStart"/>
      <w:r w:rsidRPr="00FB00FD">
        <w:t>garage, and</w:t>
      </w:r>
      <w:proofErr w:type="gramEnd"/>
      <w:r w:rsidRPr="00FB00FD">
        <w:t xml:space="preserve"> may not block other driveways.”</w:t>
      </w:r>
      <w:r>
        <w:t xml:space="preserve"> </w:t>
      </w:r>
      <w:r w:rsidR="00C27278">
        <w:t xml:space="preserve">The capacity-based standard </w:t>
      </w:r>
      <w:r w:rsidRPr="00FB00FD">
        <w:rPr>
          <w:b/>
          <w:bCs/>
        </w:rPr>
        <w:t xml:space="preserve">applies to </w:t>
      </w:r>
      <w:r>
        <w:rPr>
          <w:b/>
          <w:bCs/>
        </w:rPr>
        <w:t xml:space="preserve">all </w:t>
      </w:r>
      <w:r w:rsidRPr="00FB00FD">
        <w:rPr>
          <w:b/>
          <w:bCs/>
        </w:rPr>
        <w:t>vehicles</w:t>
      </w:r>
      <w:r w:rsidRPr="00FB00FD">
        <w:t>.</w:t>
      </w:r>
      <w:r w:rsidR="00C27278">
        <w:t xml:space="preserve"> </w:t>
      </w:r>
    </w:p>
    <w:p w14:paraId="2620F0F1" w14:textId="77777777" w:rsidR="0098020D" w:rsidRPr="00FB00FD" w:rsidRDefault="00C27278" w:rsidP="0098020D">
      <w:r>
        <w:rPr>
          <w:noProof/>
        </w:rPr>
        <w:lastRenderedPageBreak/>
      </w:r>
      <w:r w:rsidR="00C27278">
        <w:rPr>
          <w:noProof/>
        </w:rPr>
        <w:pict w14:anchorId="443753E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8C817F4" w14:textId="77777777" w:rsidR="0098020D" w:rsidRPr="00FB00FD" w:rsidRDefault="0098020D" w:rsidP="0098020D">
      <w:pPr>
        <w:rPr>
          <w:b/>
          <w:bCs/>
        </w:rPr>
      </w:pPr>
      <w:r w:rsidRPr="00FB00FD">
        <w:rPr>
          <w:b/>
          <w:bCs/>
        </w:rPr>
        <w:t>3. Outbuildings, Sheds, and Temporary Structures (Section 5.17 and 6.2)</w:t>
      </w:r>
    </w:p>
    <w:p w14:paraId="0F4BD3A5" w14:textId="77777777" w:rsidR="0098020D" w:rsidRPr="00FB00FD" w:rsidRDefault="0098020D" w:rsidP="0098020D">
      <w:pPr>
        <w:numPr>
          <w:ilvl w:val="0"/>
          <w:numId w:val="3"/>
        </w:numPr>
      </w:pPr>
      <w:r w:rsidRPr="00FB00FD">
        <w:t>Divided opinions on the </w:t>
      </w:r>
      <w:r w:rsidRPr="00FB00FD">
        <w:rPr>
          <w:b/>
          <w:bCs/>
        </w:rPr>
        <w:t>one-shed rule</w:t>
      </w:r>
      <w:r w:rsidRPr="00FB00FD">
        <w:t>: some see it as necessary for uniformity; others see it as unnecessary interference on private, non-visible space.</w:t>
      </w:r>
    </w:p>
    <w:p w14:paraId="6B0318E9" w14:textId="77777777" w:rsidR="0098020D" w:rsidRPr="00FB00FD" w:rsidRDefault="0098020D" w:rsidP="0098020D">
      <w:pPr>
        <w:numPr>
          <w:ilvl w:val="0"/>
          <w:numId w:val="3"/>
        </w:numPr>
      </w:pPr>
      <w:r w:rsidRPr="00FB00FD">
        <w:t>Homeowners want </w:t>
      </w:r>
      <w:r w:rsidRPr="00FB00FD">
        <w:rPr>
          <w:b/>
          <w:bCs/>
        </w:rPr>
        <w:t>clear definitions</w:t>
      </w:r>
      <w:r w:rsidRPr="00FB00FD">
        <w:t> for what counts as an “outbuilding” (e.g., do deck boxes, pergolas, or small prefabricated storage units qualify?).</w:t>
      </w:r>
    </w:p>
    <w:p w14:paraId="70DF96C8" w14:textId="77777777" w:rsidR="0098020D" w:rsidRPr="00FB00FD" w:rsidRDefault="0098020D" w:rsidP="0098020D">
      <w:pPr>
        <w:numPr>
          <w:ilvl w:val="0"/>
          <w:numId w:val="3"/>
        </w:numPr>
      </w:pPr>
      <w:r w:rsidRPr="00FB00FD">
        <w:t>Requests to establish a </w:t>
      </w:r>
      <w:r w:rsidRPr="00FB00FD">
        <w:rPr>
          <w:b/>
          <w:bCs/>
        </w:rPr>
        <w:t>size threshold</w:t>
      </w:r>
      <w:r w:rsidRPr="00FB00FD">
        <w:t> (e.g., only structures over 120 sq ft require approval).</w:t>
      </w:r>
    </w:p>
    <w:p w14:paraId="4CA86553" w14:textId="77777777" w:rsidR="0098020D" w:rsidRPr="00FB00FD" w:rsidRDefault="0098020D" w:rsidP="0098020D">
      <w:pPr>
        <w:numPr>
          <w:ilvl w:val="0"/>
          <w:numId w:val="3"/>
        </w:numPr>
      </w:pPr>
      <w:r w:rsidRPr="00FB00FD">
        <w:t>Desire for allowance of </w:t>
      </w:r>
      <w:r w:rsidRPr="00FB00FD">
        <w:rPr>
          <w:b/>
          <w:bCs/>
        </w:rPr>
        <w:t>temporary structures</w:t>
      </w:r>
      <w:r w:rsidRPr="00FB00FD">
        <w:t> (tents, canopies, play structures) for </w:t>
      </w:r>
      <w:r w:rsidRPr="00FB00FD">
        <w:rPr>
          <w:b/>
          <w:bCs/>
        </w:rPr>
        <w:t>short-term use</w:t>
      </w:r>
      <w:r w:rsidRPr="00FB00FD">
        <w:t> — typically suggested as 72 hours or a weekend.</w:t>
      </w:r>
    </w:p>
    <w:p w14:paraId="734405EE" w14:textId="77777777" w:rsidR="0098020D" w:rsidRDefault="0098020D" w:rsidP="0098020D">
      <w:pPr>
        <w:numPr>
          <w:ilvl w:val="0"/>
          <w:numId w:val="3"/>
        </w:numPr>
      </w:pPr>
      <w:r w:rsidRPr="00FB00FD">
        <w:t>Clarify “fences” in Section 6.2 as “permanent fences,” to ensure </w:t>
      </w:r>
      <w:r w:rsidRPr="00FB00FD">
        <w:rPr>
          <w:b/>
          <w:bCs/>
        </w:rPr>
        <w:t>temporary garden fencing</w:t>
      </w:r>
      <w:r w:rsidRPr="00FB00FD">
        <w:t> isn’t unintentionally restricted.</w:t>
      </w:r>
    </w:p>
    <w:p w14:paraId="13A46111" w14:textId="2DEAD01B" w:rsidR="0098020D" w:rsidRPr="00FB00FD" w:rsidRDefault="0098020D" w:rsidP="0098020D">
      <w:r>
        <w:rPr>
          <w:b/>
          <w:bCs/>
        </w:rPr>
        <w:t>Proposed Amendments</w:t>
      </w:r>
      <w:r w:rsidRPr="00FB00FD">
        <w:rPr>
          <w:b/>
          <w:bCs/>
        </w:rPr>
        <w:t>:</w:t>
      </w:r>
    </w:p>
    <w:p w14:paraId="3ABAD61B" w14:textId="62137764" w:rsidR="00162D83" w:rsidRDefault="0098020D" w:rsidP="00162D83">
      <w:pPr>
        <w:numPr>
          <w:ilvl w:val="0"/>
          <w:numId w:val="22"/>
        </w:numPr>
      </w:pPr>
      <w:r w:rsidRPr="00FB00FD">
        <w:t>Clarify that “</w:t>
      </w:r>
      <w:r w:rsidRPr="00FB00FD">
        <w:rPr>
          <w:b/>
          <w:bCs/>
        </w:rPr>
        <w:t>one shed</w:t>
      </w:r>
      <w:r w:rsidRPr="00FB00FD">
        <w:t>” refers to </w:t>
      </w:r>
      <w:r w:rsidRPr="00FB00FD">
        <w:rPr>
          <w:b/>
          <w:bCs/>
        </w:rPr>
        <w:t>freestanding storage buildings</w:t>
      </w:r>
      <w:r w:rsidRPr="00FB00FD">
        <w:t>, not deck boxes or attached cabinets.</w:t>
      </w:r>
      <w:r>
        <w:t xml:space="preserve"> </w:t>
      </w:r>
      <w:r w:rsidRPr="00FB00FD">
        <w:t>Add </w:t>
      </w:r>
      <w:r w:rsidRPr="00FB00FD">
        <w:rPr>
          <w:b/>
          <w:bCs/>
        </w:rPr>
        <w:t>size threshold</w:t>
      </w:r>
      <w:r w:rsidRPr="00FB00FD">
        <w:t> (e.g., approval required only for structures </w:t>
      </w:r>
      <w:r w:rsidRPr="00FB00FD">
        <w:rPr>
          <w:b/>
          <w:bCs/>
        </w:rPr>
        <w:t>&gt;120 sq. ft.</w:t>
      </w:r>
      <w:r w:rsidRPr="00FB00FD">
        <w:t>).</w:t>
      </w:r>
      <w:r w:rsidR="00162D83">
        <w:t xml:space="preserve"> </w:t>
      </w:r>
      <w:r w:rsidR="00162D83" w:rsidRPr="00FB00FD">
        <w:t>Define </w:t>
      </w:r>
      <w:r w:rsidR="00162D83" w:rsidRPr="00FB00FD">
        <w:rPr>
          <w:b/>
          <w:bCs/>
        </w:rPr>
        <w:t>“temporary structures”</w:t>
      </w:r>
      <w:r w:rsidR="00162D83" w:rsidRPr="00FB00FD">
        <w:t> and permit them for </w:t>
      </w:r>
      <w:r w:rsidR="00162D83" w:rsidRPr="00FB00FD">
        <w:rPr>
          <w:b/>
          <w:bCs/>
        </w:rPr>
        <w:t>≤72 hours or weekend use.</w:t>
      </w:r>
    </w:p>
    <w:p w14:paraId="51B41A68" w14:textId="076F2DD6" w:rsidR="00162D83" w:rsidRDefault="00162D83" w:rsidP="00162D83">
      <w:pPr>
        <w:numPr>
          <w:ilvl w:val="1"/>
          <w:numId w:val="22"/>
        </w:numPr>
      </w:pPr>
      <w:r>
        <w:t>Outbuilding = any free-standing structure &gt;48 sq ft OR &gt;6 ft high.</w:t>
      </w:r>
    </w:p>
    <w:p w14:paraId="0565DE67" w14:textId="77777777" w:rsidR="00162D83" w:rsidRDefault="00162D83" w:rsidP="00162D83">
      <w:pPr>
        <w:numPr>
          <w:ilvl w:val="1"/>
          <w:numId w:val="22"/>
        </w:numPr>
      </w:pPr>
      <w:r>
        <w:t>Minor storage (deck boxes ≤48 sq ft and ≤5 ft high) = no approval if not visible above fence line.</w:t>
      </w:r>
    </w:p>
    <w:p w14:paraId="2DC5C78A" w14:textId="3011C7FF" w:rsidR="00162D83" w:rsidRDefault="00162D83" w:rsidP="00162D83">
      <w:pPr>
        <w:numPr>
          <w:ilvl w:val="1"/>
          <w:numId w:val="22"/>
        </w:numPr>
      </w:pPr>
      <w:r>
        <w:t>Temporary structures (tents/canopies/play) = ≤72 hours, max 6 times/year per lot.</w:t>
      </w:r>
    </w:p>
    <w:p w14:paraId="1C83C943" w14:textId="576604D7" w:rsidR="00162D83" w:rsidRDefault="00162D83" w:rsidP="0098020D">
      <w:pPr>
        <w:numPr>
          <w:ilvl w:val="0"/>
          <w:numId w:val="22"/>
        </w:numPr>
      </w:pPr>
      <w:r w:rsidRPr="00162D83">
        <w:rPr>
          <w:b/>
          <w:bCs/>
        </w:rPr>
        <w:t>Shed rule:</w:t>
      </w:r>
      <w:r w:rsidRPr="00162D83">
        <w:t> “</w:t>
      </w:r>
      <w:r w:rsidRPr="00162D83">
        <w:rPr>
          <w:b/>
          <w:bCs/>
        </w:rPr>
        <w:t>One (1) free-standing shed</w:t>
      </w:r>
      <w:r w:rsidRPr="00162D83">
        <w:t> per lot, </w:t>
      </w:r>
      <w:r w:rsidRPr="00162D83">
        <w:rPr>
          <w:b/>
          <w:bCs/>
        </w:rPr>
        <w:t>≤160 sq ft</w:t>
      </w:r>
      <w:r w:rsidRPr="00162D83">
        <w:t>, </w:t>
      </w:r>
      <w:r w:rsidRPr="00162D83">
        <w:rPr>
          <w:b/>
          <w:bCs/>
        </w:rPr>
        <w:t>≤10 ft high</w:t>
      </w:r>
      <w:r w:rsidRPr="00162D83">
        <w:t>, behind rear building line, materials/color </w:t>
      </w:r>
      <w:r w:rsidRPr="00162D83">
        <w:rPr>
          <w:b/>
          <w:bCs/>
        </w:rPr>
        <w:t>compatible</w:t>
      </w:r>
      <w:r w:rsidR="00C27278">
        <w:t xml:space="preserve"> with the main building.</w:t>
      </w:r>
      <w:r w:rsidRPr="00162D83">
        <w:t>”</w:t>
      </w:r>
    </w:p>
    <w:p w14:paraId="6094027E" w14:textId="51BB60F7" w:rsidR="0098020D" w:rsidRDefault="0098020D" w:rsidP="0098020D">
      <w:pPr>
        <w:numPr>
          <w:ilvl w:val="0"/>
          <w:numId w:val="22"/>
        </w:numPr>
      </w:pPr>
      <w:r w:rsidRPr="00FB00FD">
        <w:t>Clarify that </w:t>
      </w:r>
      <w:r w:rsidRPr="00FB00FD">
        <w:rPr>
          <w:b/>
          <w:bCs/>
        </w:rPr>
        <w:t>gazebos, pergolas, and play structures</w:t>
      </w:r>
      <w:r w:rsidRPr="00FB00FD">
        <w:t> are allowed if aesthetically compatible.</w:t>
      </w:r>
    </w:p>
    <w:p w14:paraId="41D92AFB" w14:textId="76A15804" w:rsidR="00162D83" w:rsidRPr="00FB00FD" w:rsidRDefault="00162D83" w:rsidP="0098020D">
      <w:pPr>
        <w:numPr>
          <w:ilvl w:val="0"/>
          <w:numId w:val="22"/>
        </w:numPr>
      </w:pPr>
      <w:r w:rsidRPr="00162D83">
        <w:rPr>
          <w:b/>
          <w:bCs/>
        </w:rPr>
        <w:t>Grandfathering:</w:t>
      </w:r>
      <w:r w:rsidRPr="00162D83">
        <w:t xml:space="preserve"> “Existing </w:t>
      </w:r>
      <w:r>
        <w:t xml:space="preserve">lots with more than one conforming structure will be allowed to keep those </w:t>
      </w:r>
      <w:r w:rsidRPr="00162D83">
        <w:t>structures</w:t>
      </w:r>
      <w:r>
        <w:t>.</w:t>
      </w:r>
      <w:r w:rsidR="00C27278">
        <w:t>”</w:t>
      </w:r>
    </w:p>
    <w:p w14:paraId="44E8C504" w14:textId="77777777" w:rsidR="0098020D" w:rsidRDefault="0098020D" w:rsidP="0098020D">
      <w:pPr>
        <w:numPr>
          <w:ilvl w:val="0"/>
          <w:numId w:val="22"/>
        </w:numPr>
      </w:pPr>
      <w:r w:rsidRPr="00FB00FD">
        <w:t>In 6.2, change “fences” to </w:t>
      </w:r>
      <w:r w:rsidRPr="00FB00FD">
        <w:rPr>
          <w:b/>
          <w:bCs/>
        </w:rPr>
        <w:t>“permanent fences”</w:t>
      </w:r>
      <w:r w:rsidRPr="00FB00FD">
        <w:t> to exempt garden fencing.</w:t>
      </w:r>
    </w:p>
    <w:p w14:paraId="1EDD19EA" w14:textId="77777777" w:rsidR="0098020D" w:rsidRPr="00FB00FD" w:rsidRDefault="00C27278" w:rsidP="0098020D">
      <w:r>
        <w:rPr>
          <w:noProof/>
        </w:rPr>
      </w:r>
      <w:r w:rsidR="00C27278">
        <w:rPr>
          <w:noProof/>
        </w:rPr>
        <w:pict w14:anchorId="544C006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337F463" w14:textId="77777777" w:rsidR="0098020D" w:rsidRPr="00FB00FD" w:rsidRDefault="0098020D" w:rsidP="0098020D">
      <w:pPr>
        <w:rPr>
          <w:b/>
          <w:bCs/>
        </w:rPr>
      </w:pPr>
      <w:r w:rsidRPr="00FB00FD">
        <w:rPr>
          <w:b/>
          <w:bCs/>
        </w:rPr>
        <w:t>4. Nuisance and Subjectivity of Language (Section 5.10)</w:t>
      </w:r>
    </w:p>
    <w:p w14:paraId="34A72D4B" w14:textId="517E0432" w:rsidR="0098020D" w:rsidRPr="00FB00FD" w:rsidRDefault="0098020D" w:rsidP="0098020D">
      <w:pPr>
        <w:numPr>
          <w:ilvl w:val="0"/>
          <w:numId w:val="4"/>
        </w:numPr>
      </w:pPr>
      <w:r w:rsidRPr="00FB00FD">
        <w:t>Repeated concern that terms like </w:t>
      </w:r>
      <w:r w:rsidRPr="00FB00FD">
        <w:rPr>
          <w:i/>
          <w:iCs/>
        </w:rPr>
        <w:t>“unreasonably offensive,”</w:t>
      </w:r>
      <w:r>
        <w:rPr>
          <w:i/>
          <w:iCs/>
        </w:rPr>
        <w:t xml:space="preserve"> </w:t>
      </w:r>
      <w:r w:rsidRPr="00FB00FD">
        <w:rPr>
          <w:i/>
          <w:iCs/>
        </w:rPr>
        <w:t>“annoyance,”</w:t>
      </w:r>
      <w:r w:rsidRPr="00FB00FD">
        <w:t> or </w:t>
      </w:r>
      <w:r w:rsidRPr="00FB00FD">
        <w:rPr>
          <w:i/>
          <w:iCs/>
        </w:rPr>
        <w:t>“disturbance”</w:t>
      </w:r>
      <w:r w:rsidRPr="00FB00FD">
        <w:t> are too subjective and could invite conflict.</w:t>
      </w:r>
    </w:p>
    <w:p w14:paraId="0C8159FC" w14:textId="77777777" w:rsidR="0098020D" w:rsidRPr="00FB00FD" w:rsidRDefault="0098020D" w:rsidP="0098020D">
      <w:pPr>
        <w:numPr>
          <w:ilvl w:val="0"/>
          <w:numId w:val="4"/>
        </w:numPr>
      </w:pPr>
      <w:r w:rsidRPr="00FB00FD">
        <w:t>Requests for </w:t>
      </w:r>
      <w:r w:rsidRPr="00FB00FD">
        <w:rPr>
          <w:b/>
          <w:bCs/>
        </w:rPr>
        <w:t>objective standards</w:t>
      </w:r>
      <w:r w:rsidRPr="00FB00FD">
        <w:t> (e.g., decibel levels, defined quiet hours) or examples to be provided in </w:t>
      </w:r>
      <w:r w:rsidRPr="00FB00FD">
        <w:rPr>
          <w:b/>
          <w:bCs/>
        </w:rPr>
        <w:t>Rules and Regulations</w:t>
      </w:r>
      <w:r w:rsidRPr="00FB00FD">
        <w:t>.</w:t>
      </w:r>
    </w:p>
    <w:p w14:paraId="5965D3D0" w14:textId="77777777" w:rsidR="0098020D" w:rsidRDefault="0098020D" w:rsidP="0098020D">
      <w:pPr>
        <w:numPr>
          <w:ilvl w:val="0"/>
          <w:numId w:val="4"/>
        </w:numPr>
      </w:pPr>
      <w:r w:rsidRPr="00FB00FD">
        <w:lastRenderedPageBreak/>
        <w:t>Several comments urge a </w:t>
      </w:r>
      <w:r w:rsidRPr="00FB00FD">
        <w:rPr>
          <w:b/>
          <w:bCs/>
        </w:rPr>
        <w:t>“common-sense” and neighborly application</w:t>
      </w:r>
      <w:r w:rsidRPr="00FB00FD">
        <w:t> of the rules — a focus on maintenance, safety, and aesthetics, not micro-management.</w:t>
      </w:r>
    </w:p>
    <w:p w14:paraId="327BC667" w14:textId="081DB68B" w:rsidR="0098020D" w:rsidRPr="00FB00FD" w:rsidRDefault="0098020D" w:rsidP="0098020D">
      <w:r>
        <w:rPr>
          <w:b/>
          <w:bCs/>
        </w:rPr>
        <w:t>Proposed Amendments</w:t>
      </w:r>
      <w:r w:rsidRPr="00FB00FD">
        <w:rPr>
          <w:b/>
          <w:bCs/>
        </w:rPr>
        <w:t>:</w:t>
      </w:r>
    </w:p>
    <w:p w14:paraId="51773037" w14:textId="38768D82" w:rsidR="0098020D" w:rsidRPr="00FB00FD" w:rsidRDefault="0098020D" w:rsidP="0098020D">
      <w:pPr>
        <w:numPr>
          <w:ilvl w:val="0"/>
          <w:numId w:val="24"/>
        </w:numPr>
      </w:pPr>
      <w:r w:rsidRPr="00FB00FD">
        <w:t>Remove subjective phrases (“unreasonably offensive,” “annoying,” etc.).</w:t>
      </w:r>
      <w:r w:rsidR="00162D83">
        <w:t xml:space="preserve"> Create a </w:t>
      </w:r>
      <w:r w:rsidR="00162D83" w:rsidRPr="00162D83">
        <w:rPr>
          <w:b/>
          <w:bCs/>
        </w:rPr>
        <w:t>Declaration anchor:</w:t>
      </w:r>
      <w:r w:rsidR="00162D83" w:rsidRPr="00162D83">
        <w:t> “A nuisance includes conduct that </w:t>
      </w:r>
      <w:r w:rsidR="00162D83" w:rsidRPr="00162D83">
        <w:rPr>
          <w:b/>
          <w:bCs/>
        </w:rPr>
        <w:t>unreasonably interferes</w:t>
      </w:r>
      <w:r w:rsidR="00162D83" w:rsidRPr="00162D83">
        <w:t> with neighbors’ use and enjoyment, including, without limitation, </w:t>
      </w:r>
      <w:r w:rsidR="00162D83" w:rsidRPr="00162D83">
        <w:rPr>
          <w:b/>
          <w:bCs/>
        </w:rPr>
        <w:t>(a)</w:t>
      </w:r>
      <w:r w:rsidR="00162D83" w:rsidRPr="00162D83">
        <w:t> sustained sound exceeding </w:t>
      </w:r>
      <w:r w:rsidR="00162D83" w:rsidRPr="00162D83">
        <w:rPr>
          <w:b/>
          <w:bCs/>
        </w:rPr>
        <w:t>X dBA at the lot line between 10pm–7am / Y dBA 7am–10pm</w:t>
      </w:r>
      <w:r w:rsidR="00162D83" w:rsidRPr="00162D83">
        <w:t>, </w:t>
      </w:r>
      <w:r w:rsidR="00162D83" w:rsidRPr="00162D83">
        <w:rPr>
          <w:b/>
          <w:bCs/>
        </w:rPr>
        <w:t>(b)</w:t>
      </w:r>
      <w:r w:rsidR="00162D83" w:rsidRPr="00162D83">
        <w:t> light glare exceeding </w:t>
      </w:r>
      <w:r w:rsidR="00162D83" w:rsidRPr="00162D83">
        <w:rPr>
          <w:b/>
          <w:bCs/>
        </w:rPr>
        <w:t>Z foot-candles</w:t>
      </w:r>
      <w:r w:rsidR="00162D83" w:rsidRPr="00162D83">
        <w:t> measured at the lot line, </w:t>
      </w:r>
      <w:r w:rsidR="00162D83" w:rsidRPr="00162D83">
        <w:rPr>
          <w:b/>
          <w:bCs/>
        </w:rPr>
        <w:t>(c)</w:t>
      </w:r>
      <w:r w:rsidR="00162D83" w:rsidRPr="00162D83">
        <w:t> putrescent odors detectable at the lot line for more than </w:t>
      </w:r>
      <w:r w:rsidR="00162D83" w:rsidRPr="00162D83">
        <w:rPr>
          <w:b/>
          <w:bCs/>
        </w:rPr>
        <w:t>30 minutes</w:t>
      </w:r>
      <w:r w:rsidR="00162D83" w:rsidRPr="00162D83">
        <w:t>.”</w:t>
      </w:r>
    </w:p>
    <w:p w14:paraId="64817CCE" w14:textId="735DF67F" w:rsidR="0098020D" w:rsidRPr="00FB00FD" w:rsidRDefault="0098020D" w:rsidP="0098020D">
      <w:pPr>
        <w:numPr>
          <w:ilvl w:val="0"/>
          <w:numId w:val="24"/>
        </w:numPr>
      </w:pPr>
      <w:r w:rsidRPr="00FB00FD">
        <w:t>Adopt an accompanying </w:t>
      </w:r>
      <w:r w:rsidRPr="00FB00FD">
        <w:rPr>
          <w:b/>
          <w:bCs/>
        </w:rPr>
        <w:t>Rules &amp; Regulations schedule</w:t>
      </w:r>
      <w:r w:rsidRPr="00FB00FD">
        <w:t> with examples of enforceable nuisances (noise, light glare, odor).</w:t>
      </w:r>
      <w:r>
        <w:t xml:space="preserve"> Like the ARC / P&amp;P document – created by the Board to clarify what exactly will be treated as a nuisance.</w:t>
      </w:r>
    </w:p>
    <w:p w14:paraId="569DC7F9" w14:textId="77777777" w:rsidR="0098020D" w:rsidRPr="00FB00FD" w:rsidRDefault="0098020D" w:rsidP="0098020D">
      <w:pPr>
        <w:numPr>
          <w:ilvl w:val="0"/>
          <w:numId w:val="24"/>
        </w:numPr>
      </w:pPr>
      <w:r w:rsidRPr="00FB00FD">
        <w:t>Emphasize </w:t>
      </w:r>
      <w:r w:rsidRPr="00FB00FD">
        <w:rPr>
          <w:b/>
          <w:bCs/>
        </w:rPr>
        <w:t>“education first”</w:t>
      </w:r>
      <w:r w:rsidRPr="00FB00FD">
        <w:t> enforcement policy.</w:t>
      </w:r>
    </w:p>
    <w:p w14:paraId="7E0D6CD3" w14:textId="77777777" w:rsidR="0098020D" w:rsidRPr="00FB00FD" w:rsidRDefault="0098020D" w:rsidP="0098020D">
      <w:pPr>
        <w:numPr>
          <w:ilvl w:val="0"/>
          <w:numId w:val="25"/>
        </w:numPr>
      </w:pPr>
      <w:r w:rsidRPr="00FB00FD">
        <w:t>Request Altitude’s model nuisance and enforcement language (standard CCIOA template).</w:t>
      </w:r>
    </w:p>
    <w:p w14:paraId="6414E4E5" w14:textId="77777777" w:rsidR="0098020D" w:rsidRPr="00FB00FD" w:rsidRDefault="00C27278" w:rsidP="0098020D">
      <w:r>
        <w:rPr>
          <w:noProof/>
        </w:rPr>
      </w:r>
      <w:r w:rsidR="00C27278">
        <w:rPr>
          <w:noProof/>
        </w:rPr>
        <w:pict w14:anchorId="7C4AEE2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09E03FB" w14:textId="77777777" w:rsidR="0098020D" w:rsidRPr="00FB00FD" w:rsidRDefault="0098020D" w:rsidP="0098020D">
      <w:pPr>
        <w:rPr>
          <w:b/>
          <w:bCs/>
        </w:rPr>
      </w:pPr>
      <w:r w:rsidRPr="00FB00FD">
        <w:rPr>
          <w:b/>
          <w:bCs/>
        </w:rPr>
        <w:t>5. Drainage and Ditches (Sections 3.2, 5.6, 5.7)</w:t>
      </w:r>
    </w:p>
    <w:p w14:paraId="190B5F0C" w14:textId="77777777" w:rsidR="0098020D" w:rsidRPr="00FB00FD" w:rsidRDefault="0098020D" w:rsidP="0098020D">
      <w:pPr>
        <w:numPr>
          <w:ilvl w:val="0"/>
          <w:numId w:val="5"/>
        </w:numPr>
      </w:pPr>
      <w:r w:rsidRPr="00FB00FD">
        <w:t>Owners want a </w:t>
      </w:r>
      <w:r w:rsidRPr="00FB00FD">
        <w:rPr>
          <w:b/>
          <w:bCs/>
        </w:rPr>
        <w:t>clear statement of responsibility</w:t>
      </w:r>
      <w:r w:rsidRPr="00FB00FD">
        <w:t> for drainage areas and barrow ditches — distinguishing County, HOA, and homeowner roles.</w:t>
      </w:r>
    </w:p>
    <w:p w14:paraId="05C62425" w14:textId="77777777" w:rsidR="0098020D" w:rsidRDefault="0098020D" w:rsidP="0098020D">
      <w:pPr>
        <w:numPr>
          <w:ilvl w:val="0"/>
          <w:numId w:val="5"/>
        </w:numPr>
      </w:pPr>
      <w:r w:rsidRPr="00FB00FD">
        <w:t>Concern that the </w:t>
      </w:r>
      <w:r w:rsidRPr="00FB00FD">
        <w:rPr>
          <w:b/>
          <w:bCs/>
        </w:rPr>
        <w:t>Design Review Committee (DRC)</w:t>
      </w:r>
      <w:r w:rsidRPr="00FB00FD">
        <w:t> not be asked to evaluate </w:t>
      </w:r>
      <w:r w:rsidRPr="00FB00FD">
        <w:rPr>
          <w:b/>
          <w:bCs/>
        </w:rPr>
        <w:t>drainage engineering or stormwater systems</w:t>
      </w:r>
      <w:r w:rsidRPr="00FB00FD">
        <w:t>, which should remain a technical/county matter.</w:t>
      </w:r>
    </w:p>
    <w:p w14:paraId="1D654296" w14:textId="0C271016" w:rsidR="0098020D" w:rsidRPr="00FB00FD" w:rsidRDefault="0098020D" w:rsidP="0098020D">
      <w:r>
        <w:rPr>
          <w:b/>
          <w:bCs/>
        </w:rPr>
        <w:t>Proposed Amendments</w:t>
      </w:r>
      <w:r w:rsidRPr="00FB00FD">
        <w:rPr>
          <w:b/>
          <w:bCs/>
        </w:rPr>
        <w:t>:</w:t>
      </w:r>
    </w:p>
    <w:p w14:paraId="6C26A7D6" w14:textId="07576FF0" w:rsidR="00162D83" w:rsidRPr="00162D83" w:rsidRDefault="00162D83" w:rsidP="00162D83">
      <w:pPr>
        <w:numPr>
          <w:ilvl w:val="0"/>
          <w:numId w:val="29"/>
        </w:numPr>
      </w:pPr>
      <w:r w:rsidRPr="00162D83">
        <w:t xml:space="preserve">HOA is responsible </w:t>
      </w:r>
      <w:r>
        <w:t>for</w:t>
      </w:r>
      <w:r w:rsidRPr="00162D83">
        <w:t xml:space="preserve"> common area impact</w:t>
      </w:r>
      <w:r>
        <w:t>s.</w:t>
      </w:r>
    </w:p>
    <w:p w14:paraId="1E4B03E3" w14:textId="660F185D" w:rsidR="00162D83" w:rsidRPr="00162D83" w:rsidRDefault="00162D83" w:rsidP="00162D83">
      <w:pPr>
        <w:numPr>
          <w:ilvl w:val="0"/>
          <w:numId w:val="29"/>
        </w:numPr>
      </w:pPr>
      <w:r w:rsidRPr="00162D83">
        <w:rPr>
          <w:b/>
          <w:bCs/>
        </w:rPr>
        <w:t>No alteration:</w:t>
      </w:r>
      <w:r w:rsidRPr="00162D83">
        <w:t> “No Owner may </w:t>
      </w:r>
      <w:r w:rsidRPr="00162D83">
        <w:rPr>
          <w:b/>
          <w:bCs/>
        </w:rPr>
        <w:t>alter established drainage patterns</w:t>
      </w:r>
      <w:r w:rsidRPr="00162D83">
        <w:t> shown on the recorded plat/drainage plan. Any alteration requires county approval.”</w:t>
      </w:r>
    </w:p>
    <w:p w14:paraId="3EE0CB0B" w14:textId="49C30275" w:rsidR="00162D83" w:rsidRPr="00162D83" w:rsidRDefault="00162D83" w:rsidP="00162D83">
      <w:pPr>
        <w:numPr>
          <w:ilvl w:val="0"/>
          <w:numId w:val="29"/>
        </w:numPr>
      </w:pPr>
      <w:r w:rsidRPr="00162D83">
        <w:rPr>
          <w:b/>
          <w:bCs/>
        </w:rPr>
        <w:t>Owner duty:</w:t>
      </w:r>
      <w:r w:rsidRPr="00162D83">
        <w:t> “Owners must maintain </w:t>
      </w:r>
      <w:r w:rsidRPr="00162D83">
        <w:rPr>
          <w:b/>
          <w:bCs/>
        </w:rPr>
        <w:t>on-lot swales/ditches/culverts</w:t>
      </w:r>
      <w:r w:rsidRPr="00162D83">
        <w:t> to convey design flows.”</w:t>
      </w:r>
    </w:p>
    <w:p w14:paraId="50DA4BF2" w14:textId="42608271" w:rsidR="00162D83" w:rsidRPr="00162D83" w:rsidRDefault="00162D83" w:rsidP="00162D83">
      <w:pPr>
        <w:numPr>
          <w:ilvl w:val="0"/>
          <w:numId w:val="29"/>
        </w:numPr>
      </w:pPr>
      <w:r w:rsidRPr="00162D83">
        <w:rPr>
          <w:b/>
          <w:bCs/>
        </w:rPr>
        <w:t>DRC limit:</w:t>
      </w:r>
      <w:r w:rsidRPr="00162D83">
        <w:t> “DRC review is </w:t>
      </w:r>
      <w:r w:rsidRPr="00162D83">
        <w:rPr>
          <w:b/>
          <w:bCs/>
        </w:rPr>
        <w:t>aesthetic/siting only</w:t>
      </w:r>
      <w:r w:rsidRPr="00162D83">
        <w:t>; </w:t>
      </w:r>
      <w:r w:rsidRPr="00162D83">
        <w:rPr>
          <w:b/>
          <w:bCs/>
        </w:rPr>
        <w:t>hydrology and stormwater</w:t>
      </w:r>
      <w:r w:rsidRPr="00162D83">
        <w:t> remain with </w:t>
      </w:r>
      <w:r w:rsidRPr="00162D83">
        <w:rPr>
          <w:b/>
          <w:bCs/>
        </w:rPr>
        <w:t>County and licensed professionals</w:t>
      </w:r>
      <w:r w:rsidRPr="00162D83">
        <w:t>.”</w:t>
      </w:r>
    </w:p>
    <w:p w14:paraId="2E42DB0E" w14:textId="61A072C8" w:rsidR="0098020D" w:rsidRPr="00FB00FD" w:rsidRDefault="0098020D" w:rsidP="0098020D">
      <w:pPr>
        <w:numPr>
          <w:ilvl w:val="0"/>
          <w:numId w:val="29"/>
        </w:numPr>
      </w:pPr>
    </w:p>
    <w:p w14:paraId="7251824A" w14:textId="77777777" w:rsidR="0098020D" w:rsidRPr="00FB00FD" w:rsidRDefault="00C27278" w:rsidP="0098020D">
      <w:r>
        <w:rPr>
          <w:noProof/>
        </w:rPr>
      </w:r>
      <w:r w:rsidR="00C27278">
        <w:rPr>
          <w:noProof/>
        </w:rPr>
        <w:pict w14:anchorId="25832AF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C0039C8" w14:textId="77777777" w:rsidR="0098020D" w:rsidRPr="00FB00FD" w:rsidRDefault="0098020D" w:rsidP="0098020D">
      <w:pPr>
        <w:rPr>
          <w:b/>
          <w:bCs/>
        </w:rPr>
      </w:pPr>
      <w:r w:rsidRPr="00FB00FD">
        <w:rPr>
          <w:b/>
          <w:bCs/>
        </w:rPr>
        <w:t>6. Fence Standards and Repair Responsibility (Sections 3.2, 4.5)</w:t>
      </w:r>
    </w:p>
    <w:p w14:paraId="6FB592E2" w14:textId="77777777" w:rsidR="0098020D" w:rsidRPr="00FB00FD" w:rsidRDefault="0098020D" w:rsidP="0098020D">
      <w:pPr>
        <w:numPr>
          <w:ilvl w:val="0"/>
          <w:numId w:val="6"/>
        </w:numPr>
      </w:pPr>
      <w:r w:rsidRPr="00FB00FD">
        <w:t>Broad agreement that the </w:t>
      </w:r>
      <w:r w:rsidRPr="00FB00FD">
        <w:rPr>
          <w:b/>
          <w:bCs/>
        </w:rPr>
        <w:t>HOA should repair perimeter fencing</w:t>
      </w:r>
      <w:r w:rsidRPr="00FB00FD">
        <w:t> to maintain consistency and safety, then </w:t>
      </w:r>
      <w:r w:rsidRPr="00FB00FD">
        <w:rPr>
          <w:b/>
          <w:bCs/>
        </w:rPr>
        <w:t>bill back</w:t>
      </w:r>
      <w:r>
        <w:rPr>
          <w:b/>
          <w:bCs/>
        </w:rPr>
        <w:t xml:space="preserve"> </w:t>
      </w:r>
      <w:r w:rsidRPr="00FB00FD">
        <w:t>owners if they caused damage.</w:t>
      </w:r>
    </w:p>
    <w:p w14:paraId="23D0D127" w14:textId="77777777" w:rsidR="0098020D" w:rsidRPr="00FB00FD" w:rsidRDefault="0098020D" w:rsidP="0098020D">
      <w:pPr>
        <w:numPr>
          <w:ilvl w:val="0"/>
          <w:numId w:val="6"/>
        </w:numPr>
      </w:pPr>
      <w:r w:rsidRPr="00FB00FD">
        <w:lastRenderedPageBreak/>
        <w:t>Desire for </w:t>
      </w:r>
      <w:r w:rsidRPr="00FB00FD">
        <w:rPr>
          <w:b/>
          <w:bCs/>
        </w:rPr>
        <w:t>clear fence standards</w:t>
      </w:r>
      <w:r w:rsidRPr="00FB00FD">
        <w:t> (height, material, picket size, fasteners) to ensure uniformity across the neighborhood.</w:t>
      </w:r>
    </w:p>
    <w:p w14:paraId="1CF491F9" w14:textId="77777777" w:rsidR="0098020D" w:rsidRDefault="0098020D" w:rsidP="0098020D">
      <w:pPr>
        <w:numPr>
          <w:ilvl w:val="0"/>
          <w:numId w:val="6"/>
        </w:numPr>
      </w:pPr>
      <w:r w:rsidRPr="00FB00FD">
        <w:t>Concern that </w:t>
      </w:r>
      <w:r w:rsidRPr="00FB00FD">
        <w:rPr>
          <w:b/>
          <w:bCs/>
        </w:rPr>
        <w:t>storm or wind damage</w:t>
      </w:r>
      <w:r w:rsidRPr="00FB00FD">
        <w:t> should </w:t>
      </w:r>
      <w:r w:rsidRPr="00FB00FD">
        <w:rPr>
          <w:b/>
          <w:bCs/>
        </w:rPr>
        <w:t>not</w:t>
      </w:r>
      <w:r w:rsidRPr="00FB00FD">
        <w:t> trigger homeowner assessments unless negligence contributed to the damage.</w:t>
      </w:r>
    </w:p>
    <w:p w14:paraId="6D90B7E6" w14:textId="5E75A96F" w:rsidR="0098020D" w:rsidRPr="00FB00FD" w:rsidRDefault="0098020D" w:rsidP="0098020D">
      <w:r>
        <w:rPr>
          <w:b/>
          <w:bCs/>
        </w:rPr>
        <w:t>Proposed Amendments</w:t>
      </w:r>
      <w:r w:rsidRPr="00FB00FD">
        <w:rPr>
          <w:b/>
          <w:bCs/>
        </w:rPr>
        <w:t>:</w:t>
      </w:r>
    </w:p>
    <w:p w14:paraId="63EBE678" w14:textId="02738E30" w:rsidR="0098020D" w:rsidRPr="00FB00FD" w:rsidRDefault="0098020D" w:rsidP="0098020D">
      <w:pPr>
        <w:numPr>
          <w:ilvl w:val="0"/>
          <w:numId w:val="26"/>
        </w:numPr>
      </w:pPr>
      <w:r w:rsidRPr="00FB00FD">
        <w:t>Clarify that </w:t>
      </w:r>
      <w:r w:rsidRPr="00FB00FD">
        <w:rPr>
          <w:b/>
          <w:bCs/>
        </w:rPr>
        <w:t>damage “originating from a Lot”</w:t>
      </w:r>
      <w:r w:rsidR="00162D83" w:rsidRPr="00162D83">
        <w:t xml:space="preserve"> means damage caused by conditions </w:t>
      </w:r>
      <w:r w:rsidR="00162D83" w:rsidRPr="00162D83">
        <w:rPr>
          <w:b/>
          <w:bCs/>
        </w:rPr>
        <w:t>on that Lot</w:t>
      </w:r>
      <w:r w:rsidR="00162D83" w:rsidRPr="00162D83">
        <w:t> (e.g., tree on that Lot).</w:t>
      </w:r>
    </w:p>
    <w:p w14:paraId="6BF5636E" w14:textId="5BA623EC" w:rsidR="0098020D" w:rsidRPr="00FB00FD" w:rsidRDefault="0098020D" w:rsidP="0098020D">
      <w:pPr>
        <w:numPr>
          <w:ilvl w:val="0"/>
          <w:numId w:val="26"/>
        </w:numPr>
      </w:pPr>
      <w:r w:rsidRPr="00FB00FD">
        <w:t>Adopt the </w:t>
      </w:r>
      <w:r w:rsidRPr="00FB00FD">
        <w:rPr>
          <w:b/>
          <w:bCs/>
        </w:rPr>
        <w:t>“HOA repairs; Owner pays if negligent”</w:t>
      </w:r>
      <w:r w:rsidRPr="00FB00FD">
        <w:t> model for perimeter fence damage.</w:t>
      </w:r>
      <w:r w:rsidR="00162D83">
        <w:t xml:space="preserve"> </w:t>
      </w:r>
      <w:r w:rsidR="00162D83" w:rsidRPr="00162D83">
        <w:rPr>
          <w:b/>
          <w:bCs/>
        </w:rPr>
        <w:t>Neglect:</w:t>
      </w:r>
      <w:r w:rsidR="00162D83" w:rsidRPr="00162D83">
        <w:t> “Failure to </w:t>
      </w:r>
      <w:r w:rsidR="00162D83" w:rsidRPr="00162D83">
        <w:rPr>
          <w:b/>
          <w:bCs/>
        </w:rPr>
        <w:t>maintain trees/structures</w:t>
      </w:r>
      <w:r w:rsidR="00162D83" w:rsidRPr="00162D83">
        <w:t> in a condition that a reasonable person would know poses a risk of damage, evidenced by </w:t>
      </w:r>
      <w:r w:rsidR="00162D83" w:rsidRPr="00162D83">
        <w:rPr>
          <w:b/>
          <w:bCs/>
        </w:rPr>
        <w:t>documented prior notice</w:t>
      </w:r>
      <w:r w:rsidR="00162D83" w:rsidRPr="00162D83">
        <w:t> or </w:t>
      </w:r>
      <w:r w:rsidR="00162D83" w:rsidRPr="00162D83">
        <w:rPr>
          <w:b/>
          <w:bCs/>
        </w:rPr>
        <w:t>obvious visible decay/failure</w:t>
      </w:r>
      <w:r w:rsidR="00162D83">
        <w:rPr>
          <w:b/>
          <w:bCs/>
        </w:rPr>
        <w:t>.”</w:t>
      </w:r>
    </w:p>
    <w:p w14:paraId="3FF46AFF" w14:textId="77777777" w:rsidR="0098020D" w:rsidRPr="00FB00FD" w:rsidRDefault="0098020D" w:rsidP="0098020D">
      <w:pPr>
        <w:numPr>
          <w:ilvl w:val="0"/>
          <w:numId w:val="26"/>
        </w:numPr>
      </w:pPr>
      <w:r w:rsidRPr="00FB00FD">
        <w:t>Add a statement that </w:t>
      </w:r>
      <w:r w:rsidRPr="00FB00FD">
        <w:rPr>
          <w:b/>
          <w:bCs/>
        </w:rPr>
        <w:t>storm or wind damage</w:t>
      </w:r>
      <w:r w:rsidRPr="00FB00FD">
        <w:t> is not a chargeable supplemental assessment unless neglect contributed.</w:t>
      </w:r>
    </w:p>
    <w:p w14:paraId="1EB99207" w14:textId="47B9037D" w:rsidR="0098020D" w:rsidRDefault="0098020D" w:rsidP="0098020D">
      <w:pPr>
        <w:numPr>
          <w:ilvl w:val="0"/>
          <w:numId w:val="26"/>
        </w:numPr>
      </w:pPr>
      <w:r w:rsidRPr="00FB00FD">
        <w:t>Publish </w:t>
      </w:r>
      <w:r w:rsidRPr="00FB00FD">
        <w:rPr>
          <w:b/>
          <w:bCs/>
        </w:rPr>
        <w:t>fence standards sheet</w:t>
      </w:r>
      <w:r w:rsidRPr="00FB00FD">
        <w:t> (height, material, picket dimension, fasteners)</w:t>
      </w:r>
      <w:r>
        <w:t xml:space="preserve"> in our Architectural Standards. </w:t>
      </w:r>
    </w:p>
    <w:p w14:paraId="343EEE16" w14:textId="77777777" w:rsidR="0098020D" w:rsidRPr="00FB00FD" w:rsidRDefault="00C27278" w:rsidP="0098020D">
      <w:r>
        <w:rPr>
          <w:noProof/>
        </w:rPr>
      </w:r>
      <w:r w:rsidR="00C27278">
        <w:rPr>
          <w:noProof/>
        </w:rPr>
        <w:pict w14:anchorId="5BF0182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D409682" w14:textId="77777777" w:rsidR="0098020D" w:rsidRPr="00FB00FD" w:rsidRDefault="0098020D" w:rsidP="0098020D">
      <w:pPr>
        <w:rPr>
          <w:b/>
          <w:bCs/>
        </w:rPr>
      </w:pPr>
      <w:r w:rsidRPr="00FB00FD">
        <w:rPr>
          <w:b/>
          <w:bCs/>
        </w:rPr>
        <w:t>7. Clotheslines and Outdoor Use (Section 5.15)</w:t>
      </w:r>
    </w:p>
    <w:p w14:paraId="61DAF53B" w14:textId="77777777" w:rsidR="0098020D" w:rsidRDefault="0098020D" w:rsidP="0098020D">
      <w:pPr>
        <w:numPr>
          <w:ilvl w:val="0"/>
          <w:numId w:val="7"/>
        </w:numPr>
      </w:pPr>
      <w:r w:rsidRPr="00FB00FD">
        <w:t>Support for allowing </w:t>
      </w:r>
      <w:r w:rsidRPr="00FB00FD">
        <w:rPr>
          <w:b/>
          <w:bCs/>
        </w:rPr>
        <w:t>clotheslines</w:t>
      </w:r>
      <w:r w:rsidRPr="00FB00FD">
        <w:t> outright (not just retractable models), as long as they’re well-maintained and not visible from the street.</w:t>
      </w:r>
    </w:p>
    <w:p w14:paraId="7C0B2B25" w14:textId="78A7A844" w:rsidR="0098020D" w:rsidRPr="00FB00FD" w:rsidRDefault="0098020D" w:rsidP="0098020D">
      <w:r>
        <w:rPr>
          <w:b/>
          <w:bCs/>
        </w:rPr>
        <w:t>Proposed Amendments</w:t>
      </w:r>
      <w:r w:rsidRPr="0098020D">
        <w:rPr>
          <w:b/>
          <w:bCs/>
        </w:rPr>
        <w:t>:</w:t>
      </w:r>
    </w:p>
    <w:p w14:paraId="27FEC9F4" w14:textId="59C6216A" w:rsidR="0098020D" w:rsidRPr="00FB00FD" w:rsidRDefault="0098020D" w:rsidP="0098020D">
      <w:pPr>
        <w:pStyle w:val="ListParagraph"/>
        <w:numPr>
          <w:ilvl w:val="0"/>
          <w:numId w:val="7"/>
        </w:numPr>
      </w:pPr>
      <w:r>
        <w:t xml:space="preserve">Strike requirement that clotheslines be retractable but keep the requirement </w:t>
      </w:r>
      <w:r w:rsidRPr="00FB00FD">
        <w:t>they’re well-maintained and not visible from the street.</w:t>
      </w:r>
    </w:p>
    <w:p w14:paraId="7496503B" w14:textId="77777777" w:rsidR="0098020D" w:rsidRPr="00FB00FD" w:rsidRDefault="00C27278" w:rsidP="0098020D">
      <w:r>
        <w:rPr>
          <w:noProof/>
        </w:rPr>
      </w:r>
      <w:r w:rsidR="00C27278">
        <w:rPr>
          <w:noProof/>
        </w:rPr>
        <w:pict w14:anchorId="114AB73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590E949" w14:textId="77777777" w:rsidR="0098020D" w:rsidRPr="00FB00FD" w:rsidRDefault="0098020D" w:rsidP="0098020D">
      <w:pPr>
        <w:rPr>
          <w:b/>
          <w:bCs/>
        </w:rPr>
      </w:pPr>
      <w:r w:rsidRPr="00FB00FD">
        <w:rPr>
          <w:b/>
          <w:bCs/>
        </w:rPr>
        <w:t>8. Rain Barrels (Section 5.22)</w:t>
      </w:r>
    </w:p>
    <w:p w14:paraId="6352671D" w14:textId="77777777" w:rsidR="0098020D" w:rsidRPr="00FB00FD" w:rsidRDefault="0098020D" w:rsidP="0098020D">
      <w:pPr>
        <w:numPr>
          <w:ilvl w:val="0"/>
          <w:numId w:val="8"/>
        </w:numPr>
      </w:pPr>
      <w:r w:rsidRPr="00FB00FD">
        <w:t>General support for allowing rain barrels.</w:t>
      </w:r>
    </w:p>
    <w:p w14:paraId="6B4ABC51" w14:textId="77777777" w:rsidR="0098020D" w:rsidRPr="00FB00FD" w:rsidRDefault="0098020D" w:rsidP="0098020D">
      <w:pPr>
        <w:numPr>
          <w:ilvl w:val="0"/>
          <w:numId w:val="8"/>
        </w:numPr>
      </w:pPr>
      <w:r w:rsidRPr="00FB00FD">
        <w:t>Requests to </w:t>
      </w:r>
      <w:r w:rsidRPr="00FB00FD">
        <w:rPr>
          <w:b/>
          <w:bCs/>
        </w:rPr>
        <w:t>relax color-matching requirements</w:t>
      </w:r>
      <w:r w:rsidRPr="00FB00FD">
        <w:t> if barrels aren’t visible from the street.</w:t>
      </w:r>
    </w:p>
    <w:p w14:paraId="2D276823" w14:textId="77777777" w:rsidR="0098020D" w:rsidRDefault="0098020D" w:rsidP="0098020D">
      <w:pPr>
        <w:numPr>
          <w:ilvl w:val="0"/>
          <w:numId w:val="8"/>
        </w:numPr>
      </w:pPr>
      <w:r w:rsidRPr="00FB00FD">
        <w:t>Recognition that the </w:t>
      </w:r>
      <w:r w:rsidRPr="00FB00FD">
        <w:rPr>
          <w:b/>
          <w:bCs/>
        </w:rPr>
        <w:t>two-barrel, 110-gallon limit</w:t>
      </w:r>
      <w:r w:rsidRPr="00FB00FD">
        <w:t> is required by Colorado law and not an HOA creation.</w:t>
      </w:r>
    </w:p>
    <w:p w14:paraId="5BD2D22B" w14:textId="3CE5BF5C" w:rsidR="0098020D" w:rsidRPr="00FB00FD" w:rsidRDefault="0098020D" w:rsidP="0098020D">
      <w:r>
        <w:rPr>
          <w:b/>
          <w:bCs/>
        </w:rPr>
        <w:t>Proposed Amendments</w:t>
      </w:r>
      <w:r w:rsidRPr="00FB00FD">
        <w:rPr>
          <w:b/>
          <w:bCs/>
        </w:rPr>
        <w:t>:</w:t>
      </w:r>
    </w:p>
    <w:p w14:paraId="41D59217" w14:textId="77777777" w:rsidR="0098020D" w:rsidRPr="00FB00FD" w:rsidRDefault="0098020D" w:rsidP="0098020D">
      <w:pPr>
        <w:numPr>
          <w:ilvl w:val="0"/>
          <w:numId w:val="32"/>
        </w:numPr>
      </w:pPr>
      <w:r w:rsidRPr="00FB00FD">
        <w:t>Retain state-law cap (2 barrels, 110 gallons total).</w:t>
      </w:r>
    </w:p>
    <w:p w14:paraId="3952475C" w14:textId="77777777" w:rsidR="0098020D" w:rsidRPr="00FB00FD" w:rsidRDefault="0098020D" w:rsidP="0098020D">
      <w:pPr>
        <w:numPr>
          <w:ilvl w:val="0"/>
          <w:numId w:val="32"/>
        </w:numPr>
      </w:pPr>
      <w:r w:rsidRPr="00FB00FD">
        <w:t>Relax color-matching requirement when barrels </w:t>
      </w:r>
      <w:r w:rsidRPr="00FB00FD">
        <w:rPr>
          <w:b/>
          <w:bCs/>
        </w:rPr>
        <w:t>not visible</w:t>
      </w:r>
      <w:r w:rsidRPr="00FB00FD">
        <w:t> from the street.</w:t>
      </w:r>
    </w:p>
    <w:p w14:paraId="24886772" w14:textId="77777777" w:rsidR="0098020D" w:rsidRPr="00FB00FD" w:rsidRDefault="0098020D" w:rsidP="0098020D">
      <w:pPr>
        <w:numPr>
          <w:ilvl w:val="0"/>
          <w:numId w:val="32"/>
        </w:numPr>
      </w:pPr>
      <w:r w:rsidRPr="00FB00FD">
        <w:t>Cross-reference state statute (C.R.S. §37-96.5-103).</w:t>
      </w:r>
    </w:p>
    <w:p w14:paraId="7C143874" w14:textId="77777777" w:rsidR="0098020D" w:rsidRPr="00FB00FD" w:rsidRDefault="00C27278" w:rsidP="0098020D">
      <w:r>
        <w:rPr>
          <w:noProof/>
        </w:rPr>
      </w:r>
      <w:r w:rsidR="00C27278">
        <w:rPr>
          <w:noProof/>
        </w:rPr>
        <w:pict w14:anchorId="5B181C0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EC6B9D2" w14:textId="77777777" w:rsidR="0098020D" w:rsidRPr="00FB00FD" w:rsidRDefault="0098020D" w:rsidP="0098020D">
      <w:pPr>
        <w:rPr>
          <w:b/>
          <w:bCs/>
        </w:rPr>
      </w:pPr>
      <w:r w:rsidRPr="00FB00FD">
        <w:rPr>
          <w:b/>
          <w:bCs/>
        </w:rPr>
        <w:lastRenderedPageBreak/>
        <w:t>9. Signs, Flags, and Political Expression</w:t>
      </w:r>
    </w:p>
    <w:p w14:paraId="18D3748C" w14:textId="77777777" w:rsidR="0098020D" w:rsidRPr="00FB00FD" w:rsidRDefault="0098020D" w:rsidP="0098020D">
      <w:pPr>
        <w:numPr>
          <w:ilvl w:val="0"/>
          <w:numId w:val="9"/>
        </w:numPr>
      </w:pPr>
      <w:r w:rsidRPr="00FB00FD">
        <w:t>Homeowners want reassurance that </w:t>
      </w:r>
      <w:r w:rsidRPr="00FB00FD">
        <w:rPr>
          <w:b/>
          <w:bCs/>
        </w:rPr>
        <w:t>political signs and flags are allowed</w:t>
      </w:r>
      <w:r w:rsidRPr="00FB00FD">
        <w:t>, consistent with Colorado law.</w:t>
      </w:r>
    </w:p>
    <w:p w14:paraId="032AEEBD" w14:textId="77777777" w:rsidR="0098020D" w:rsidRPr="00FB00FD" w:rsidRDefault="0098020D" w:rsidP="0098020D">
      <w:pPr>
        <w:numPr>
          <w:ilvl w:val="0"/>
          <w:numId w:val="9"/>
        </w:numPr>
      </w:pPr>
      <w:r w:rsidRPr="00FB00FD">
        <w:t>HOA may regulate only </w:t>
      </w:r>
      <w:r w:rsidRPr="00FB00FD">
        <w:rPr>
          <w:b/>
          <w:bCs/>
        </w:rPr>
        <w:t>size, placement, and duration</w:t>
      </w:r>
      <w:r w:rsidRPr="00FB00FD">
        <w:t>, not content.</w:t>
      </w:r>
    </w:p>
    <w:p w14:paraId="21156DE7" w14:textId="77777777" w:rsidR="0098020D" w:rsidRDefault="0098020D" w:rsidP="0098020D">
      <w:pPr>
        <w:numPr>
          <w:ilvl w:val="0"/>
          <w:numId w:val="9"/>
        </w:numPr>
      </w:pPr>
      <w:r w:rsidRPr="00FB00FD">
        <w:t>Clarify that </w:t>
      </w:r>
      <w:r w:rsidRPr="00FB00FD">
        <w:rPr>
          <w:b/>
          <w:bCs/>
        </w:rPr>
        <w:t>temporary service or real estate signs</w:t>
      </w:r>
      <w:r w:rsidRPr="00FB00FD">
        <w:t> (e.g., lawn care, open house) are permitted for short durations.</w:t>
      </w:r>
    </w:p>
    <w:p w14:paraId="4E25F4F6" w14:textId="54DB06DA" w:rsidR="0098020D" w:rsidRPr="00FB00FD" w:rsidRDefault="0098020D" w:rsidP="0098020D">
      <w:r>
        <w:rPr>
          <w:b/>
          <w:bCs/>
        </w:rPr>
        <w:t>Proposed Amendments</w:t>
      </w:r>
      <w:r w:rsidRPr="00FB00FD">
        <w:rPr>
          <w:b/>
          <w:bCs/>
        </w:rPr>
        <w:t>:</w:t>
      </w:r>
    </w:p>
    <w:p w14:paraId="21335B22" w14:textId="77777777" w:rsidR="0098020D" w:rsidRPr="00FB00FD" w:rsidRDefault="0098020D" w:rsidP="0098020D">
      <w:pPr>
        <w:numPr>
          <w:ilvl w:val="0"/>
          <w:numId w:val="30"/>
        </w:numPr>
      </w:pPr>
      <w:r w:rsidRPr="00FB00FD">
        <w:t>Clarify political signs and flags are </w:t>
      </w:r>
      <w:r w:rsidRPr="00FB00FD">
        <w:rPr>
          <w:b/>
          <w:bCs/>
        </w:rPr>
        <w:t>expressly allowed</w:t>
      </w:r>
      <w:r w:rsidRPr="00FB00FD">
        <w:t> per CCIOA.</w:t>
      </w:r>
    </w:p>
    <w:p w14:paraId="4A3BF20E" w14:textId="3510DFDD" w:rsidR="0098020D" w:rsidRPr="00FB00FD" w:rsidRDefault="0098020D" w:rsidP="0098020D">
      <w:pPr>
        <w:numPr>
          <w:ilvl w:val="0"/>
          <w:numId w:val="30"/>
        </w:numPr>
      </w:pPr>
      <w:r w:rsidRPr="00FB00FD">
        <w:t>Add </w:t>
      </w:r>
      <w:r w:rsidRPr="00FB00FD">
        <w:rPr>
          <w:b/>
          <w:bCs/>
        </w:rPr>
        <w:t>content-neutral standards</w:t>
      </w:r>
      <w:r w:rsidRPr="00FB00FD">
        <w:t> for </w:t>
      </w:r>
      <w:r w:rsidRPr="00FB00FD">
        <w:rPr>
          <w:b/>
          <w:bCs/>
        </w:rPr>
        <w:t>size</w:t>
      </w:r>
      <w:r>
        <w:rPr>
          <w:b/>
          <w:bCs/>
        </w:rPr>
        <w:t xml:space="preserve"> and </w:t>
      </w:r>
      <w:r w:rsidRPr="00FB00FD">
        <w:rPr>
          <w:b/>
          <w:bCs/>
        </w:rPr>
        <w:t>placement</w:t>
      </w:r>
      <w:r w:rsidRPr="00FB00FD">
        <w:t xml:space="preserve"> (e.g., 5 sq. ft</w:t>
      </w:r>
      <w:r>
        <w:t>.).</w:t>
      </w:r>
    </w:p>
    <w:p w14:paraId="78C1E098" w14:textId="77777777" w:rsidR="0098020D" w:rsidRPr="00FB00FD" w:rsidRDefault="0098020D" w:rsidP="0098020D">
      <w:pPr>
        <w:numPr>
          <w:ilvl w:val="0"/>
          <w:numId w:val="30"/>
        </w:numPr>
      </w:pPr>
      <w:r w:rsidRPr="00FB00FD">
        <w:t>Include language permitting </w:t>
      </w:r>
      <w:r w:rsidRPr="00FB00FD">
        <w:rPr>
          <w:b/>
          <w:bCs/>
        </w:rPr>
        <w:t>temporary service signs</w:t>
      </w:r>
      <w:r w:rsidRPr="00FB00FD">
        <w:t> (e.g., landscapers, contractors, real estate).</w:t>
      </w:r>
    </w:p>
    <w:p w14:paraId="7B84EE08" w14:textId="77777777" w:rsidR="0098020D" w:rsidRPr="00FB00FD" w:rsidRDefault="00C27278" w:rsidP="0098020D">
      <w:r>
        <w:rPr>
          <w:noProof/>
        </w:rPr>
      </w:r>
      <w:r w:rsidR="00C27278">
        <w:rPr>
          <w:noProof/>
        </w:rPr>
        <w:pict w14:anchorId="4211FF1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5ACAA29" w14:textId="77777777" w:rsidR="0098020D" w:rsidRPr="00FB00FD" w:rsidRDefault="0098020D" w:rsidP="0098020D">
      <w:pPr>
        <w:rPr>
          <w:b/>
          <w:bCs/>
        </w:rPr>
      </w:pPr>
      <w:r w:rsidRPr="00FB00FD">
        <w:rPr>
          <w:b/>
          <w:bCs/>
        </w:rPr>
        <w:t>10. Insurance and Cost Transparency (Article 7)</w:t>
      </w:r>
    </w:p>
    <w:p w14:paraId="3C08A71C" w14:textId="77777777" w:rsidR="0098020D" w:rsidRPr="00FB00FD" w:rsidRDefault="0098020D" w:rsidP="0098020D">
      <w:pPr>
        <w:numPr>
          <w:ilvl w:val="0"/>
          <w:numId w:val="10"/>
        </w:numPr>
      </w:pPr>
      <w:r w:rsidRPr="00FB00FD">
        <w:t>Multiple questions about what the </w:t>
      </w:r>
      <w:r w:rsidRPr="00FB00FD">
        <w:rPr>
          <w:b/>
          <w:bCs/>
        </w:rPr>
        <w:t>HOA will insure</w:t>
      </w:r>
      <w:r w:rsidRPr="00FB00FD">
        <w:t>, what it costs, and how it affects </w:t>
      </w:r>
      <w:r w:rsidRPr="00FB00FD">
        <w:rPr>
          <w:b/>
          <w:bCs/>
        </w:rPr>
        <w:t>annual assessments</w:t>
      </w:r>
      <w:r w:rsidRPr="00FB00FD">
        <w:t>.</w:t>
      </w:r>
    </w:p>
    <w:p w14:paraId="32FFAA33" w14:textId="77777777" w:rsidR="0098020D" w:rsidRPr="00FB00FD" w:rsidRDefault="0098020D" w:rsidP="0098020D">
      <w:pPr>
        <w:numPr>
          <w:ilvl w:val="0"/>
          <w:numId w:val="10"/>
        </w:numPr>
      </w:pPr>
      <w:r w:rsidRPr="00FB00FD">
        <w:t>Requests for </w:t>
      </w:r>
      <w:r w:rsidRPr="00FB00FD">
        <w:rPr>
          <w:b/>
          <w:bCs/>
        </w:rPr>
        <w:t>cost estimates</w:t>
      </w:r>
      <w:r w:rsidRPr="00FB00FD">
        <w:t> for each insurance category (liability, fidelity, D&amp;O, etc.).</w:t>
      </w:r>
    </w:p>
    <w:p w14:paraId="153135E1" w14:textId="77777777" w:rsidR="0098020D" w:rsidRDefault="0098020D" w:rsidP="0098020D">
      <w:pPr>
        <w:numPr>
          <w:ilvl w:val="0"/>
          <w:numId w:val="10"/>
        </w:numPr>
      </w:pPr>
      <w:r w:rsidRPr="00FB00FD">
        <w:t>Clarify what qualifies as a </w:t>
      </w:r>
      <w:r w:rsidRPr="00FB00FD">
        <w:rPr>
          <w:b/>
          <w:bCs/>
        </w:rPr>
        <w:t>common area asset</w:t>
      </w:r>
      <w:r w:rsidRPr="00FB00FD">
        <w:t> requiring coverage (entry signage, gates, mailboxes, fencing).</w:t>
      </w:r>
    </w:p>
    <w:p w14:paraId="1BECB9EE" w14:textId="77777777" w:rsidR="0098020D" w:rsidRPr="00FB00FD" w:rsidRDefault="0098020D" w:rsidP="0098020D">
      <w:r w:rsidRPr="00FB00FD">
        <w:rPr>
          <w:b/>
          <w:bCs/>
        </w:rPr>
        <w:t>Board Action:</w:t>
      </w:r>
    </w:p>
    <w:p w14:paraId="63A593FC" w14:textId="77777777" w:rsidR="0098020D" w:rsidRPr="00FB00FD" w:rsidRDefault="0098020D" w:rsidP="0098020D">
      <w:pPr>
        <w:numPr>
          <w:ilvl w:val="0"/>
          <w:numId w:val="34"/>
        </w:numPr>
      </w:pPr>
      <w:r w:rsidRPr="00FB00FD">
        <w:t xml:space="preserve">Ask </w:t>
      </w:r>
      <w:r>
        <w:t>Insurance provider</w:t>
      </w:r>
      <w:r w:rsidRPr="00FB00FD">
        <w:t xml:space="preserve"> for an </w:t>
      </w:r>
      <w:r w:rsidRPr="00FB00FD">
        <w:rPr>
          <w:b/>
          <w:bCs/>
        </w:rPr>
        <w:t>estimated annual cost range</w:t>
      </w:r>
      <w:r w:rsidRPr="00FB00FD">
        <w:t> for each required insurance type.</w:t>
      </w:r>
    </w:p>
    <w:p w14:paraId="622B110C" w14:textId="77777777" w:rsidR="0098020D" w:rsidRPr="00FB00FD" w:rsidRDefault="0098020D" w:rsidP="0098020D">
      <w:pPr>
        <w:numPr>
          <w:ilvl w:val="0"/>
          <w:numId w:val="34"/>
        </w:numPr>
      </w:pPr>
      <w:r w:rsidRPr="00FB00FD">
        <w:t>Confirm which common-area assets are covered (entry sign, fire-lane gate, mailboxes, fencing).</w:t>
      </w:r>
    </w:p>
    <w:p w14:paraId="2939E5C8" w14:textId="77777777" w:rsidR="0098020D" w:rsidRPr="00FB00FD" w:rsidRDefault="0098020D" w:rsidP="0098020D">
      <w:pPr>
        <w:numPr>
          <w:ilvl w:val="0"/>
          <w:numId w:val="34"/>
        </w:numPr>
      </w:pPr>
      <w:r w:rsidRPr="00FB00FD">
        <w:t>Prepare a </w:t>
      </w:r>
      <w:r w:rsidRPr="00FB00FD">
        <w:rPr>
          <w:b/>
          <w:bCs/>
        </w:rPr>
        <w:t>cost impact summary</w:t>
      </w:r>
      <w:r w:rsidRPr="00FB00FD">
        <w:t> for homeowners when budgeted.</w:t>
      </w:r>
    </w:p>
    <w:p w14:paraId="4B6B9BCD" w14:textId="77777777" w:rsidR="0098020D" w:rsidRPr="00FB00FD" w:rsidRDefault="0098020D" w:rsidP="0098020D">
      <w:pPr>
        <w:numPr>
          <w:ilvl w:val="0"/>
          <w:numId w:val="35"/>
        </w:numPr>
      </w:pPr>
      <w:r w:rsidRPr="00FB00FD">
        <w:t>Request Altitude and insurance agent to ensure compliance with CCIOA §38-33.3-313.</w:t>
      </w:r>
    </w:p>
    <w:p w14:paraId="7A44E5E1" w14:textId="77777777" w:rsidR="0098020D" w:rsidRPr="00FB00FD" w:rsidRDefault="00C27278" w:rsidP="0098020D">
      <w:r>
        <w:rPr>
          <w:noProof/>
        </w:rPr>
      </w:r>
      <w:r w:rsidR="00C27278">
        <w:rPr>
          <w:noProof/>
        </w:rPr>
        <w:pict w14:anchorId="3D4BC35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033E3D9" w14:textId="77777777" w:rsidR="0098020D" w:rsidRPr="00FB00FD" w:rsidRDefault="0098020D" w:rsidP="0098020D">
      <w:pPr>
        <w:rPr>
          <w:b/>
          <w:bCs/>
        </w:rPr>
      </w:pPr>
      <w:r w:rsidRPr="00FB00FD">
        <w:rPr>
          <w:b/>
          <w:bCs/>
        </w:rPr>
        <w:t>11. Fines and Enforcement</w:t>
      </w:r>
    </w:p>
    <w:p w14:paraId="21B8C018" w14:textId="77777777" w:rsidR="0098020D" w:rsidRPr="00FB00FD" w:rsidRDefault="0098020D" w:rsidP="0098020D">
      <w:pPr>
        <w:numPr>
          <w:ilvl w:val="0"/>
          <w:numId w:val="11"/>
        </w:numPr>
      </w:pPr>
      <w:r w:rsidRPr="00FB00FD">
        <w:t>Some homeowners oppose fines altogether; others simply want </w:t>
      </w:r>
      <w:r w:rsidRPr="00FB00FD">
        <w:rPr>
          <w:b/>
          <w:bCs/>
        </w:rPr>
        <w:t>clear due-process protections</w:t>
      </w:r>
      <w:r w:rsidRPr="00FB00FD">
        <w:t> before penalties are imposed.</w:t>
      </w:r>
    </w:p>
    <w:p w14:paraId="47AE1E67" w14:textId="77777777" w:rsidR="0098020D" w:rsidRDefault="0098020D" w:rsidP="0098020D">
      <w:pPr>
        <w:numPr>
          <w:ilvl w:val="0"/>
          <w:numId w:val="11"/>
        </w:numPr>
      </w:pPr>
      <w:r w:rsidRPr="00FB00FD">
        <w:t>Emphasis that enforcement should prioritize </w:t>
      </w:r>
      <w:r w:rsidRPr="00FB00FD">
        <w:rPr>
          <w:b/>
          <w:bCs/>
        </w:rPr>
        <w:t>education and compliance</w:t>
      </w:r>
      <w:r w:rsidRPr="00FB00FD">
        <w:t>, not punishment.</w:t>
      </w:r>
    </w:p>
    <w:p w14:paraId="7DD12C68" w14:textId="08BDCFF0" w:rsidR="0098020D" w:rsidRPr="00FB00FD" w:rsidRDefault="0098020D" w:rsidP="0098020D">
      <w:r>
        <w:rPr>
          <w:b/>
          <w:bCs/>
        </w:rPr>
        <w:t>Proposed Amendments</w:t>
      </w:r>
      <w:r w:rsidRPr="00FB00FD">
        <w:rPr>
          <w:b/>
          <w:bCs/>
        </w:rPr>
        <w:t>:</w:t>
      </w:r>
    </w:p>
    <w:p w14:paraId="5CA18D90" w14:textId="4F7B627C" w:rsidR="0098020D" w:rsidRPr="00FB00FD" w:rsidRDefault="0098020D" w:rsidP="0098020D">
      <w:pPr>
        <w:numPr>
          <w:ilvl w:val="0"/>
          <w:numId w:val="36"/>
        </w:numPr>
      </w:pPr>
      <w:r w:rsidRPr="00FB00FD">
        <w:lastRenderedPageBreak/>
        <w:t xml:space="preserve">Retain the ability to levy fines (CCIOA requires it as a last resort), but add </w:t>
      </w:r>
      <w:r>
        <w:t xml:space="preserve">reference to the </w:t>
      </w:r>
      <w:r w:rsidRPr="00FB00FD">
        <w:t>explicit </w:t>
      </w:r>
      <w:r w:rsidRPr="00FB00FD">
        <w:rPr>
          <w:b/>
          <w:bCs/>
        </w:rPr>
        <w:t>due process</w:t>
      </w:r>
      <w:r w:rsidRPr="00FB00FD">
        <w:t> steps</w:t>
      </w:r>
      <w:r>
        <w:t xml:space="preserve"> captured in our Policy and Procedure Manual</w:t>
      </w:r>
      <w:r w:rsidRPr="00FB00FD">
        <w:t>:</w:t>
      </w:r>
    </w:p>
    <w:p w14:paraId="3CC0A9D9" w14:textId="77777777" w:rsidR="0098020D" w:rsidRPr="00FB00FD" w:rsidRDefault="0098020D" w:rsidP="0098020D">
      <w:pPr>
        <w:numPr>
          <w:ilvl w:val="1"/>
          <w:numId w:val="36"/>
        </w:numPr>
      </w:pPr>
      <w:r w:rsidRPr="00FB00FD">
        <w:t>Written notice → hearing opportunity → Board decision → appeal right.</w:t>
      </w:r>
    </w:p>
    <w:p w14:paraId="4640D02F" w14:textId="77777777" w:rsidR="0098020D" w:rsidRPr="00162D83" w:rsidRDefault="0098020D" w:rsidP="0098020D">
      <w:pPr>
        <w:numPr>
          <w:ilvl w:val="0"/>
          <w:numId w:val="36"/>
        </w:numPr>
      </w:pPr>
      <w:r w:rsidRPr="00FB00FD">
        <w:t>Emphasize fines are for </w:t>
      </w:r>
      <w:r w:rsidRPr="00FB00FD">
        <w:rPr>
          <w:b/>
          <w:bCs/>
        </w:rPr>
        <w:t>repeat or willful violations only.</w:t>
      </w:r>
    </w:p>
    <w:p w14:paraId="61DF239E" w14:textId="2FF3CADD" w:rsidR="00162D83" w:rsidRPr="00FB00FD" w:rsidRDefault="00162D83" w:rsidP="0098020D">
      <w:pPr>
        <w:numPr>
          <w:ilvl w:val="0"/>
          <w:numId w:val="36"/>
        </w:numPr>
      </w:pPr>
      <w:r w:rsidRPr="00162D83">
        <w:t>The Association shall follow the </w:t>
      </w:r>
      <w:r w:rsidRPr="00162D83">
        <w:rPr>
          <w:b/>
          <w:bCs/>
        </w:rPr>
        <w:t>due process and notice requirements</w:t>
      </w:r>
      <w:r w:rsidRPr="00162D83">
        <w:t> of </w:t>
      </w:r>
      <w:r w:rsidRPr="00162D83">
        <w:rPr>
          <w:b/>
          <w:bCs/>
        </w:rPr>
        <w:t>HB22-1137</w:t>
      </w:r>
      <w:r w:rsidRPr="00162D83">
        <w:t> (as amended) before imposing any fine</w:t>
      </w:r>
      <w:r>
        <w:t>.</w:t>
      </w:r>
    </w:p>
    <w:p w14:paraId="4BDBBFD2" w14:textId="77777777" w:rsidR="0098020D" w:rsidRPr="00FB00FD" w:rsidRDefault="00C27278" w:rsidP="0098020D">
      <w:r>
        <w:rPr>
          <w:noProof/>
        </w:rPr>
      </w:r>
      <w:r w:rsidR="00C27278">
        <w:rPr>
          <w:noProof/>
        </w:rPr>
        <w:pict w14:anchorId="30244050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85AC0BE" w14:textId="77777777" w:rsidR="0098020D" w:rsidRPr="00FB00FD" w:rsidRDefault="0098020D" w:rsidP="0098020D">
      <w:pPr>
        <w:rPr>
          <w:b/>
          <w:bCs/>
        </w:rPr>
      </w:pPr>
      <w:r w:rsidRPr="00FB00FD">
        <w:rPr>
          <w:b/>
          <w:bCs/>
        </w:rPr>
        <w:t>12. Communication, Process, and Notice</w:t>
      </w:r>
    </w:p>
    <w:p w14:paraId="5CA1109D" w14:textId="77777777" w:rsidR="0098020D" w:rsidRPr="00FB00FD" w:rsidRDefault="0098020D" w:rsidP="0098020D">
      <w:pPr>
        <w:numPr>
          <w:ilvl w:val="0"/>
          <w:numId w:val="12"/>
        </w:numPr>
      </w:pPr>
      <w:r w:rsidRPr="00FB00FD">
        <w:t>Support for </w:t>
      </w:r>
      <w:r w:rsidRPr="00FB00FD">
        <w:rPr>
          <w:b/>
          <w:bCs/>
        </w:rPr>
        <w:t>email notices</w:t>
      </w:r>
      <w:r w:rsidRPr="00FB00FD">
        <w:t> but request an </w:t>
      </w:r>
      <w:r w:rsidRPr="00FB00FD">
        <w:rPr>
          <w:b/>
          <w:bCs/>
        </w:rPr>
        <w:t>opt-in paper option</w:t>
      </w:r>
      <w:r w:rsidRPr="00FB00FD">
        <w:t> for residents who prefer printed materials.</w:t>
      </w:r>
    </w:p>
    <w:p w14:paraId="2A073DD7" w14:textId="77777777" w:rsidR="0098020D" w:rsidRPr="00FB00FD" w:rsidRDefault="0098020D" w:rsidP="0098020D">
      <w:pPr>
        <w:numPr>
          <w:ilvl w:val="0"/>
          <w:numId w:val="12"/>
        </w:numPr>
      </w:pPr>
      <w:r w:rsidRPr="00FB00FD">
        <w:t>Desire for </w:t>
      </w:r>
      <w:r w:rsidRPr="00FB00FD">
        <w:rPr>
          <w:b/>
          <w:bCs/>
        </w:rPr>
        <w:t>proxy voting</w:t>
      </w:r>
      <w:r w:rsidRPr="00FB00FD">
        <w:t> for those unable to attend in person.</w:t>
      </w:r>
    </w:p>
    <w:p w14:paraId="72DC1CAC" w14:textId="77777777" w:rsidR="0098020D" w:rsidRDefault="0098020D" w:rsidP="0098020D">
      <w:pPr>
        <w:numPr>
          <w:ilvl w:val="0"/>
          <w:numId w:val="12"/>
        </w:numPr>
      </w:pPr>
      <w:r w:rsidRPr="00FB00FD">
        <w:t>Some homeowners feel the </w:t>
      </w:r>
      <w:r w:rsidRPr="00FB00FD">
        <w:rPr>
          <w:b/>
          <w:bCs/>
        </w:rPr>
        <w:t>rewrite process was too narrow</w:t>
      </w:r>
      <w:r w:rsidRPr="00FB00FD">
        <w:t> (few initial participants in the legal questionnaire) and want </w:t>
      </w:r>
      <w:r w:rsidRPr="00FB00FD">
        <w:rPr>
          <w:b/>
          <w:bCs/>
        </w:rPr>
        <w:t>broader representation</w:t>
      </w:r>
      <w:r w:rsidRPr="00FB00FD">
        <w:t> in future policy decisions.</w:t>
      </w:r>
    </w:p>
    <w:p w14:paraId="0144DBD6" w14:textId="77777777" w:rsidR="0098020D" w:rsidRPr="00FB00FD" w:rsidRDefault="0098020D" w:rsidP="0098020D">
      <w:r w:rsidRPr="00FB00FD">
        <w:rPr>
          <w:b/>
          <w:bCs/>
        </w:rPr>
        <w:t>Board Action:</w:t>
      </w:r>
    </w:p>
    <w:p w14:paraId="49B2630E" w14:textId="77777777" w:rsidR="0098020D" w:rsidRPr="00FB00FD" w:rsidRDefault="0098020D" w:rsidP="0098020D">
      <w:pPr>
        <w:numPr>
          <w:ilvl w:val="0"/>
          <w:numId w:val="38"/>
        </w:numPr>
      </w:pPr>
      <w:r w:rsidRPr="00FB00FD">
        <w:t>Formalize </w:t>
      </w:r>
      <w:r w:rsidRPr="00FB00FD">
        <w:rPr>
          <w:b/>
          <w:bCs/>
        </w:rPr>
        <w:t>opt-in paper notices</w:t>
      </w:r>
      <w:r w:rsidRPr="00FB00FD">
        <w:t> and proxy ballots for those who request them.</w:t>
      </w:r>
    </w:p>
    <w:p w14:paraId="5B8EE069" w14:textId="25C84030" w:rsidR="0098020D" w:rsidRPr="00FB00FD" w:rsidRDefault="0098020D" w:rsidP="0098020D">
      <w:pPr>
        <w:numPr>
          <w:ilvl w:val="0"/>
          <w:numId w:val="38"/>
        </w:numPr>
      </w:pPr>
      <w:r w:rsidRPr="00FB00FD">
        <w:t>Publish a </w:t>
      </w:r>
      <w:r w:rsidRPr="00FB00FD">
        <w:rPr>
          <w:b/>
          <w:bCs/>
        </w:rPr>
        <w:t>“Feedback Response Summary”</w:t>
      </w:r>
      <w:r w:rsidRPr="00FB00FD">
        <w:t> with this action plan</w:t>
      </w:r>
      <w:r>
        <w:t xml:space="preserve"> (this document).</w:t>
      </w:r>
    </w:p>
    <w:p w14:paraId="1343F6A9" w14:textId="77777777" w:rsidR="0098020D" w:rsidRPr="00FB00FD" w:rsidRDefault="0098020D" w:rsidP="0098020D">
      <w:pPr>
        <w:numPr>
          <w:ilvl w:val="0"/>
          <w:numId w:val="38"/>
        </w:numPr>
      </w:pPr>
      <w:r w:rsidRPr="00FB00FD">
        <w:t>Commit to </w:t>
      </w:r>
      <w:r w:rsidRPr="00FB00FD">
        <w:rPr>
          <w:b/>
          <w:bCs/>
        </w:rPr>
        <w:t>post-adoption community education</w:t>
      </w:r>
      <w:r w:rsidRPr="00FB00FD">
        <w:t> (FAQs: sheds, vehicles, signs).</w:t>
      </w:r>
    </w:p>
    <w:p w14:paraId="764974BF" w14:textId="77777777" w:rsidR="0098020D" w:rsidRPr="00FB00FD" w:rsidRDefault="0098020D" w:rsidP="0098020D">
      <w:pPr>
        <w:numPr>
          <w:ilvl w:val="0"/>
          <w:numId w:val="39"/>
        </w:numPr>
      </w:pPr>
      <w:r w:rsidRPr="00FB00FD">
        <w:t>Ask Altitude to prepare the </w:t>
      </w:r>
      <w:r w:rsidRPr="00FB00FD">
        <w:rPr>
          <w:b/>
          <w:bCs/>
        </w:rPr>
        <w:t>final, Board-approved redline</w:t>
      </w:r>
      <w:r w:rsidRPr="00FB00FD">
        <w:t> incorporating these limited edits and clarifications.</w:t>
      </w:r>
    </w:p>
    <w:p w14:paraId="7B10BB58" w14:textId="77777777" w:rsidR="0098020D" w:rsidRPr="00FB00FD" w:rsidRDefault="00C27278" w:rsidP="0098020D">
      <w:r>
        <w:rPr>
          <w:noProof/>
        </w:rPr>
      </w:r>
      <w:r w:rsidR="00C27278">
        <w:rPr>
          <w:noProof/>
        </w:rPr>
        <w:pict w14:anchorId="73562616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4BF017D4" w14:textId="77777777" w:rsidR="0098020D" w:rsidRPr="00FB00FD" w:rsidRDefault="0098020D" w:rsidP="0098020D">
      <w:pPr>
        <w:rPr>
          <w:b/>
          <w:bCs/>
        </w:rPr>
      </w:pPr>
      <w:r w:rsidRPr="00FB00FD">
        <w:rPr>
          <w:b/>
          <w:bCs/>
        </w:rPr>
        <w:t>13. Amendment Thresholds and Voting Approach</w:t>
      </w:r>
    </w:p>
    <w:p w14:paraId="54CEF967" w14:textId="77777777" w:rsidR="0098020D" w:rsidRPr="00FB00FD" w:rsidRDefault="0098020D" w:rsidP="0098020D">
      <w:pPr>
        <w:numPr>
          <w:ilvl w:val="0"/>
          <w:numId w:val="13"/>
        </w:numPr>
      </w:pPr>
      <w:r w:rsidRPr="00FB00FD">
        <w:t>Several homeowners want to </w:t>
      </w:r>
      <w:r w:rsidRPr="00FB00FD">
        <w:rPr>
          <w:b/>
          <w:bCs/>
        </w:rPr>
        <w:t>retain 67% approval</w:t>
      </w:r>
      <w:r w:rsidRPr="00FB00FD">
        <w:t> for Articles of Incorporation, viewing it as a safeguard against frequent changes.</w:t>
      </w:r>
    </w:p>
    <w:p w14:paraId="2342D902" w14:textId="77777777" w:rsidR="0098020D" w:rsidRPr="00FB00FD" w:rsidRDefault="0098020D" w:rsidP="0098020D">
      <w:pPr>
        <w:numPr>
          <w:ilvl w:val="0"/>
          <w:numId w:val="13"/>
        </w:numPr>
      </w:pPr>
      <w:r w:rsidRPr="00FB00FD">
        <w:t>Others support lowering the threshold to a </w:t>
      </w:r>
      <w:r w:rsidRPr="00FB00FD">
        <w:rPr>
          <w:b/>
          <w:bCs/>
        </w:rPr>
        <w:t>simple majority</w:t>
      </w:r>
      <w:r w:rsidRPr="00FB00FD">
        <w:t> for flexibility.</w:t>
      </w:r>
    </w:p>
    <w:p w14:paraId="568BED7A" w14:textId="77777777" w:rsidR="0098020D" w:rsidRDefault="0098020D" w:rsidP="0098020D">
      <w:pPr>
        <w:numPr>
          <w:ilvl w:val="0"/>
          <w:numId w:val="13"/>
        </w:numPr>
      </w:pPr>
      <w:r w:rsidRPr="00FB00FD">
        <w:t>Some prefer </w:t>
      </w:r>
      <w:r w:rsidRPr="00FB00FD">
        <w:rPr>
          <w:b/>
          <w:bCs/>
        </w:rPr>
        <w:t>separate votes</w:t>
      </w:r>
      <w:r w:rsidRPr="00FB00FD">
        <w:t> on Articles, Bylaws, and Declaration rather than an all-or-nothing package.</w:t>
      </w:r>
    </w:p>
    <w:p w14:paraId="512253A9" w14:textId="7CA68974" w:rsidR="0098020D" w:rsidRPr="00FB00FD" w:rsidRDefault="0098020D" w:rsidP="0098020D">
      <w:r>
        <w:rPr>
          <w:b/>
          <w:bCs/>
        </w:rPr>
        <w:t>Proposed Amendments</w:t>
      </w:r>
      <w:r w:rsidRPr="00FB00FD">
        <w:rPr>
          <w:b/>
          <w:bCs/>
        </w:rPr>
        <w:t>:</w:t>
      </w:r>
    </w:p>
    <w:p w14:paraId="2CF05B47" w14:textId="77777777" w:rsidR="0098020D" w:rsidRPr="00FB00FD" w:rsidRDefault="0098020D" w:rsidP="0098020D">
      <w:pPr>
        <w:numPr>
          <w:ilvl w:val="0"/>
          <w:numId w:val="40"/>
        </w:numPr>
      </w:pPr>
      <w:r w:rsidRPr="00FB00FD">
        <w:t>Keep </w:t>
      </w:r>
      <w:r w:rsidRPr="00FB00FD">
        <w:rPr>
          <w:b/>
          <w:bCs/>
        </w:rPr>
        <w:t>67% threshold</w:t>
      </w:r>
      <w:r w:rsidRPr="00FB00FD">
        <w:t> for the Declaration (required by CCIOA).</w:t>
      </w:r>
    </w:p>
    <w:p w14:paraId="1BEA8751" w14:textId="2243CAB0" w:rsidR="0098020D" w:rsidRPr="00FB00FD" w:rsidRDefault="0098020D" w:rsidP="0098020D">
      <w:pPr>
        <w:numPr>
          <w:ilvl w:val="0"/>
          <w:numId w:val="40"/>
        </w:numPr>
      </w:pPr>
      <w:r w:rsidRPr="00FB00FD">
        <w:t>Keep </w:t>
      </w:r>
      <w:r w:rsidRPr="00FB00FD">
        <w:rPr>
          <w:b/>
          <w:bCs/>
        </w:rPr>
        <w:t>67% threshold</w:t>
      </w:r>
      <w:r w:rsidRPr="00FB00FD">
        <w:t> for Articles (</w:t>
      </w:r>
      <w:r>
        <w:t>even though it conflicts with</w:t>
      </w:r>
      <w:r w:rsidRPr="00FB00FD">
        <w:t xml:space="preserve"> nonprofit law).</w:t>
      </w:r>
    </w:p>
    <w:p w14:paraId="080A91D6" w14:textId="77777777" w:rsidR="0098020D" w:rsidRPr="00FB00FD" w:rsidRDefault="00C27278" w:rsidP="0098020D">
      <w:r>
        <w:rPr>
          <w:noProof/>
        </w:rPr>
      </w:r>
      <w:r w:rsidR="00C27278">
        <w:rPr>
          <w:noProof/>
        </w:rPr>
        <w:pict w14:anchorId="5C9551F2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1889707F" w14:textId="77777777" w:rsidR="0098020D" w:rsidRPr="00FB00FD" w:rsidRDefault="0098020D" w:rsidP="0098020D">
      <w:pPr>
        <w:rPr>
          <w:b/>
          <w:bCs/>
        </w:rPr>
      </w:pPr>
      <w:r w:rsidRPr="00FB00FD">
        <w:rPr>
          <w:b/>
          <w:bCs/>
        </w:rPr>
        <w:t>14. Marijuana and Home Activities (Section 5.19)</w:t>
      </w:r>
    </w:p>
    <w:p w14:paraId="6BAD82FD" w14:textId="77777777" w:rsidR="0098020D" w:rsidRPr="00FB00FD" w:rsidRDefault="0098020D" w:rsidP="0098020D">
      <w:pPr>
        <w:numPr>
          <w:ilvl w:val="0"/>
          <w:numId w:val="14"/>
        </w:numPr>
      </w:pPr>
      <w:r w:rsidRPr="00FB00FD">
        <w:lastRenderedPageBreak/>
        <w:t>Consensus that </w:t>
      </w:r>
      <w:r w:rsidRPr="00FB00FD">
        <w:rPr>
          <w:b/>
          <w:bCs/>
        </w:rPr>
        <w:t>outdoor growing and distribution</w:t>
      </w:r>
      <w:r w:rsidRPr="00FB00FD">
        <w:t> should remain prohibited.</w:t>
      </w:r>
    </w:p>
    <w:p w14:paraId="7A870F5B" w14:textId="77777777" w:rsidR="0098020D" w:rsidRDefault="0098020D" w:rsidP="0098020D">
      <w:pPr>
        <w:numPr>
          <w:ilvl w:val="0"/>
          <w:numId w:val="14"/>
        </w:numPr>
      </w:pPr>
      <w:r w:rsidRPr="00FB00FD">
        <w:t>Requests to clarify whether </w:t>
      </w:r>
      <w:r w:rsidRPr="00FB00FD">
        <w:rPr>
          <w:b/>
          <w:bCs/>
        </w:rPr>
        <w:t>indoor growing for personal use</w:t>
      </w:r>
      <w:r w:rsidRPr="00FB00FD">
        <w:t> (within state law) is permitted.</w:t>
      </w:r>
    </w:p>
    <w:p w14:paraId="2A650208" w14:textId="00962CB8" w:rsidR="0098020D" w:rsidRPr="00FB00FD" w:rsidRDefault="0098020D" w:rsidP="0098020D">
      <w:r>
        <w:rPr>
          <w:b/>
          <w:bCs/>
        </w:rPr>
        <w:t>Proposed Amendments</w:t>
      </w:r>
      <w:r w:rsidRPr="00FB00FD">
        <w:rPr>
          <w:b/>
          <w:bCs/>
        </w:rPr>
        <w:t>:</w:t>
      </w:r>
    </w:p>
    <w:p w14:paraId="000BBD02" w14:textId="649AF87F" w:rsidR="0098020D" w:rsidRPr="00FB00FD" w:rsidRDefault="0098020D" w:rsidP="0098020D">
      <w:pPr>
        <w:pStyle w:val="ListParagraph"/>
        <w:numPr>
          <w:ilvl w:val="0"/>
          <w:numId w:val="14"/>
        </w:numPr>
      </w:pPr>
      <w:r w:rsidRPr="00FB00FD">
        <w:t>Keep </w:t>
      </w:r>
      <w:r>
        <w:t>the provision but extend to state that indoor growing for personal use (within state law) is permitted.</w:t>
      </w:r>
      <w:r w:rsidR="00162D83">
        <w:t xml:space="preserve"> </w:t>
      </w:r>
      <w:r w:rsidR="00162D83" w:rsidRPr="00162D83">
        <w:t>Indoor cultivation </w:t>
      </w:r>
      <w:r w:rsidR="00162D83" w:rsidRPr="00162D83">
        <w:rPr>
          <w:b/>
          <w:bCs/>
        </w:rPr>
        <w:t>in compliance with state law</w:t>
      </w:r>
      <w:r w:rsidR="00162D83" w:rsidRPr="00162D83">
        <w:t> is permitted </w:t>
      </w:r>
      <w:r w:rsidR="00162D83" w:rsidRPr="00162D83">
        <w:rPr>
          <w:b/>
          <w:bCs/>
        </w:rPr>
        <w:t>provided</w:t>
      </w:r>
      <w:r w:rsidR="00162D83" w:rsidRPr="00162D83">
        <w:t> it does not create a </w:t>
      </w:r>
      <w:r w:rsidR="00162D83" w:rsidRPr="00162D83">
        <w:rPr>
          <w:b/>
          <w:bCs/>
        </w:rPr>
        <w:t>nuisance (odor, electrical load, moisture/mold)</w:t>
      </w:r>
      <w:r w:rsidR="00162D83" w:rsidRPr="00162D83">
        <w:t> and remains </w:t>
      </w:r>
      <w:r w:rsidR="00162D83" w:rsidRPr="00162D83">
        <w:rPr>
          <w:b/>
          <w:bCs/>
        </w:rPr>
        <w:t>non-commercial</w:t>
      </w:r>
      <w:r w:rsidR="00162D83" w:rsidRPr="00162D83">
        <w:t>.</w:t>
      </w:r>
    </w:p>
    <w:p w14:paraId="5D5EAFDF" w14:textId="77777777" w:rsidR="0098020D" w:rsidRPr="00FB00FD" w:rsidRDefault="00C27278" w:rsidP="0098020D">
      <w:r>
        <w:rPr>
          <w:noProof/>
        </w:rPr>
      </w:r>
      <w:r w:rsidR="00C27278">
        <w:rPr>
          <w:noProof/>
        </w:rPr>
        <w:pict w14:anchorId="262A5F54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148DD60F" w14:textId="77777777" w:rsidR="0098020D" w:rsidRPr="00FB00FD" w:rsidRDefault="0098020D" w:rsidP="0098020D">
      <w:pPr>
        <w:rPr>
          <w:b/>
          <w:bCs/>
        </w:rPr>
      </w:pPr>
      <w:r w:rsidRPr="00FB00FD">
        <w:rPr>
          <w:b/>
          <w:bCs/>
        </w:rPr>
        <w:t>15. Miscellaneous Clarifications and Suggestions</w:t>
      </w:r>
    </w:p>
    <w:p w14:paraId="2059A89C" w14:textId="77777777" w:rsidR="0098020D" w:rsidRPr="00FB00FD" w:rsidRDefault="0098020D" w:rsidP="0098020D">
      <w:pPr>
        <w:numPr>
          <w:ilvl w:val="0"/>
          <w:numId w:val="15"/>
        </w:numPr>
      </w:pPr>
      <w:r w:rsidRPr="00FB00FD">
        <w:t>Update “</w:t>
      </w:r>
      <w:r w:rsidRPr="00FB00FD">
        <w:rPr>
          <w:b/>
          <w:bCs/>
        </w:rPr>
        <w:t>PSC</w:t>
      </w:r>
      <w:r w:rsidRPr="00FB00FD">
        <w:t>” to </w:t>
      </w:r>
      <w:r w:rsidRPr="00FB00FD">
        <w:rPr>
          <w:b/>
          <w:bCs/>
        </w:rPr>
        <w:t>“Xcel Energy.”</w:t>
      </w:r>
    </w:p>
    <w:p w14:paraId="2AA63420" w14:textId="77777777" w:rsidR="0098020D" w:rsidRPr="00FB00FD" w:rsidRDefault="0098020D" w:rsidP="0098020D">
      <w:pPr>
        <w:numPr>
          <w:ilvl w:val="0"/>
          <w:numId w:val="15"/>
        </w:numPr>
      </w:pPr>
      <w:r w:rsidRPr="00FB00FD">
        <w:t>Add rule discouraging </w:t>
      </w:r>
      <w:r w:rsidRPr="00FB00FD">
        <w:rPr>
          <w:b/>
          <w:bCs/>
        </w:rPr>
        <w:t>trash cans left on the street</w:t>
      </w:r>
      <w:r w:rsidRPr="00FB00FD">
        <w:t> for multiple days.</w:t>
      </w:r>
    </w:p>
    <w:p w14:paraId="452A8618" w14:textId="77777777" w:rsidR="0098020D" w:rsidRPr="00FB00FD" w:rsidRDefault="0098020D" w:rsidP="0098020D">
      <w:pPr>
        <w:numPr>
          <w:ilvl w:val="0"/>
          <w:numId w:val="15"/>
        </w:numPr>
      </w:pPr>
      <w:r w:rsidRPr="00FB00FD">
        <w:t>Prohibit </w:t>
      </w:r>
      <w:r w:rsidRPr="00FB00FD">
        <w:rPr>
          <w:b/>
          <w:bCs/>
        </w:rPr>
        <w:t>overnight camping</w:t>
      </w:r>
      <w:r w:rsidRPr="00FB00FD">
        <w:t> in common areas.</w:t>
      </w:r>
    </w:p>
    <w:p w14:paraId="0B6711BA" w14:textId="77777777" w:rsidR="0098020D" w:rsidRPr="00FB00FD" w:rsidRDefault="0098020D" w:rsidP="0098020D">
      <w:pPr>
        <w:numPr>
          <w:ilvl w:val="0"/>
          <w:numId w:val="15"/>
        </w:numPr>
      </w:pPr>
      <w:r w:rsidRPr="00FB00FD">
        <w:t>Provide </w:t>
      </w:r>
      <w:r w:rsidRPr="00FB00FD">
        <w:rPr>
          <w:b/>
          <w:bCs/>
        </w:rPr>
        <w:t>grandfathering</w:t>
      </w:r>
      <w:r w:rsidRPr="00FB00FD">
        <w:t> for unique or non-conforming properties (e.g., farmhouse, rock wall).</w:t>
      </w:r>
    </w:p>
    <w:p w14:paraId="3811C9CD" w14:textId="0B497AA1" w:rsidR="0098020D" w:rsidRDefault="0098020D" w:rsidP="0098020D">
      <w:pPr>
        <w:numPr>
          <w:ilvl w:val="0"/>
          <w:numId w:val="15"/>
        </w:numPr>
      </w:pPr>
      <w:r>
        <w:t>Add a provision</w:t>
      </w:r>
      <w:r w:rsidRPr="00FB00FD">
        <w:t xml:space="preserve"> allowing </w:t>
      </w:r>
      <w:r w:rsidRPr="00FB00FD">
        <w:rPr>
          <w:b/>
          <w:bCs/>
        </w:rPr>
        <w:t>backyard hens, ducks, or honeybees</w:t>
      </w:r>
      <w:r w:rsidRPr="00FB00FD">
        <w:t> consistent with Jefferson County ordinances.</w:t>
      </w:r>
    </w:p>
    <w:p w14:paraId="1D778E3F" w14:textId="77777777" w:rsidR="0098020D" w:rsidRPr="00FB00FD" w:rsidRDefault="0098020D" w:rsidP="0098020D">
      <w:r w:rsidRPr="00FB00FD">
        <w:rPr>
          <w:b/>
          <w:bCs/>
        </w:rPr>
        <w:t>Board Action:</w:t>
      </w:r>
    </w:p>
    <w:p w14:paraId="0E98D963" w14:textId="77777777" w:rsidR="0098020D" w:rsidRPr="00FB00FD" w:rsidRDefault="0098020D" w:rsidP="0098020D">
      <w:pPr>
        <w:numPr>
          <w:ilvl w:val="0"/>
          <w:numId w:val="42"/>
        </w:numPr>
      </w:pPr>
      <w:r w:rsidRPr="00FB00FD">
        <w:t>Correct “PSC” → “Xcel Energy.”</w:t>
      </w:r>
    </w:p>
    <w:p w14:paraId="18D85DEB" w14:textId="77777777" w:rsidR="0098020D" w:rsidRPr="00FB00FD" w:rsidRDefault="0098020D" w:rsidP="0098020D">
      <w:pPr>
        <w:numPr>
          <w:ilvl w:val="0"/>
          <w:numId w:val="42"/>
        </w:numPr>
      </w:pPr>
      <w:r w:rsidRPr="00FB00FD">
        <w:t>Add rule discouraging </w:t>
      </w:r>
      <w:r w:rsidRPr="00FB00FD">
        <w:rPr>
          <w:b/>
          <w:bCs/>
        </w:rPr>
        <w:t>trash bins left curbside beyond collection day.</w:t>
      </w:r>
    </w:p>
    <w:p w14:paraId="3F97C7A1" w14:textId="77777777" w:rsidR="0098020D" w:rsidRPr="00FB00FD" w:rsidRDefault="0098020D" w:rsidP="0098020D">
      <w:pPr>
        <w:numPr>
          <w:ilvl w:val="0"/>
          <w:numId w:val="42"/>
        </w:numPr>
      </w:pPr>
      <w:r w:rsidRPr="00FB00FD">
        <w:t>Add </w:t>
      </w:r>
      <w:r w:rsidRPr="00FB00FD">
        <w:rPr>
          <w:b/>
          <w:bCs/>
        </w:rPr>
        <w:t>“no overnight camping in common areas”</w:t>
      </w:r>
      <w:r w:rsidRPr="00FB00FD">
        <w:t> clause.</w:t>
      </w:r>
    </w:p>
    <w:p w14:paraId="3CD23B5D" w14:textId="77777777" w:rsidR="0098020D" w:rsidRPr="00FB00FD" w:rsidRDefault="0098020D" w:rsidP="0098020D">
      <w:pPr>
        <w:numPr>
          <w:ilvl w:val="0"/>
          <w:numId w:val="42"/>
        </w:numPr>
      </w:pPr>
      <w:r w:rsidRPr="00FB00FD">
        <w:t>Add </w:t>
      </w:r>
      <w:r w:rsidRPr="00FB00FD">
        <w:rPr>
          <w:b/>
          <w:bCs/>
        </w:rPr>
        <w:t>five-year review requirement</w:t>
      </w:r>
      <w:r w:rsidRPr="00FB00FD">
        <w:t> for governing documents.</w:t>
      </w:r>
    </w:p>
    <w:p w14:paraId="2A088B46" w14:textId="63C8F7EC" w:rsidR="0098020D" w:rsidRPr="00FB00FD" w:rsidRDefault="0098020D" w:rsidP="0098020D">
      <w:pPr>
        <w:numPr>
          <w:ilvl w:val="0"/>
          <w:numId w:val="42"/>
        </w:numPr>
      </w:pPr>
      <w:r>
        <w:t>Add</w:t>
      </w:r>
      <w:r w:rsidRPr="00FB00FD">
        <w:t> </w:t>
      </w:r>
      <w:r w:rsidRPr="00FB00FD">
        <w:rPr>
          <w:b/>
          <w:bCs/>
        </w:rPr>
        <w:t>language aligning chicken/bee allowances</w:t>
      </w:r>
      <w:r w:rsidRPr="00FB00FD">
        <w:t> with Jefferson County code.</w:t>
      </w:r>
      <w:r>
        <w:t xml:space="preserve"> </w:t>
      </w:r>
    </w:p>
    <w:p w14:paraId="24D3D034" w14:textId="77777777" w:rsidR="0098020D" w:rsidRPr="00FB00FD" w:rsidRDefault="00C27278" w:rsidP="0098020D">
      <w:r>
        <w:rPr>
          <w:noProof/>
        </w:rPr>
      </w:r>
      <w:r w:rsidR="00C27278">
        <w:rPr>
          <w:noProof/>
        </w:rPr>
        <w:pict w14:anchorId="54C55C43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6CE71136" w14:textId="77777777" w:rsidR="0098020D" w:rsidRPr="00FB00FD" w:rsidRDefault="0098020D" w:rsidP="0098020D">
      <w:pPr>
        <w:rPr>
          <w:b/>
          <w:bCs/>
        </w:rPr>
      </w:pPr>
      <w:r w:rsidRPr="00FB00FD">
        <w:rPr>
          <w:b/>
          <w:bCs/>
        </w:rPr>
        <w:t>16. Tone and Philosophy of Rules</w:t>
      </w:r>
    </w:p>
    <w:p w14:paraId="778C38E7" w14:textId="14E81738" w:rsidR="0098020D" w:rsidRPr="00FB00FD" w:rsidRDefault="0098020D" w:rsidP="0098020D">
      <w:pPr>
        <w:numPr>
          <w:ilvl w:val="0"/>
          <w:numId w:val="16"/>
        </w:numPr>
      </w:pPr>
      <w:r>
        <w:t>A few</w:t>
      </w:r>
      <w:r w:rsidRPr="00FB00FD">
        <w:t xml:space="preserve"> homeowners expressed concern that the new documents feel </w:t>
      </w:r>
      <w:r w:rsidRPr="00FB00FD">
        <w:rPr>
          <w:b/>
          <w:bCs/>
        </w:rPr>
        <w:t>too restrictive or prescriptive</w:t>
      </w:r>
      <w:r w:rsidRPr="00FB00FD">
        <w:t>, compared to the HOA’s historic culture of independence and neighbor cooperation.</w:t>
      </w:r>
    </w:p>
    <w:p w14:paraId="596FF286" w14:textId="72B9455C" w:rsidR="0098020D" w:rsidRPr="00FB00FD" w:rsidRDefault="0098020D" w:rsidP="0098020D">
      <w:pPr>
        <w:numPr>
          <w:ilvl w:val="0"/>
          <w:numId w:val="16"/>
        </w:numPr>
      </w:pPr>
      <w:r>
        <w:t>These homeowners</w:t>
      </w:r>
      <w:r w:rsidRPr="00FB00FD">
        <w:t xml:space="preserve"> support modernization and legal compliance but want to preserve the Orchard’s </w:t>
      </w:r>
      <w:r w:rsidRPr="00FB00FD">
        <w:rPr>
          <w:b/>
          <w:bCs/>
        </w:rPr>
        <w:t>“live and let live”</w:t>
      </w:r>
      <w:r w:rsidRPr="00FB00FD">
        <w:t> character — focusing rules on </w:t>
      </w:r>
      <w:r w:rsidRPr="00FB00FD">
        <w:rPr>
          <w:b/>
          <w:bCs/>
        </w:rPr>
        <w:t>common property, safety, and appearance</w:t>
      </w:r>
      <w:r w:rsidRPr="00FB00FD">
        <w:t>, not private lifestyle choices.</w:t>
      </w:r>
    </w:p>
    <w:p w14:paraId="67D1C6BB" w14:textId="77777777" w:rsidR="0098020D" w:rsidRDefault="00C27278" w:rsidP="0098020D">
      <w:r>
        <w:rPr>
          <w:noProof/>
        </w:rPr>
      </w:r>
      <w:r w:rsidR="00C27278">
        <w:rPr>
          <w:noProof/>
        </w:rPr>
        <w:pict w14:anchorId="7E44A9EF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75C1DC9B" w14:textId="77777777" w:rsidR="0098020D" w:rsidRPr="00FB00FD" w:rsidRDefault="0098020D" w:rsidP="0098020D">
      <w:pPr>
        <w:rPr>
          <w:b/>
          <w:bCs/>
        </w:rPr>
      </w:pPr>
      <w:r w:rsidRPr="00FB00FD">
        <w:rPr>
          <w:b/>
          <w:bCs/>
        </w:rPr>
        <w:lastRenderedPageBreak/>
        <w:t>Implementation Timeline (Recommended)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5"/>
        <w:gridCol w:w="1440"/>
        <w:gridCol w:w="5635"/>
      </w:tblGrid>
      <w:tr w:rsidR="0098020D" w:rsidRPr="00FB00FD" w14:paraId="097E8A69" w14:textId="77777777" w:rsidTr="00DE24B8">
        <w:tc>
          <w:tcPr>
            <w:tcW w:w="0" w:type="auto"/>
            <w:hideMark/>
          </w:tcPr>
          <w:p w14:paraId="29391CFF" w14:textId="77777777" w:rsidR="0098020D" w:rsidRPr="00FB00FD" w:rsidRDefault="0098020D" w:rsidP="00DE24B8">
            <w:pPr>
              <w:spacing w:after="160"/>
              <w:rPr>
                <w:b/>
                <w:bCs/>
              </w:rPr>
            </w:pPr>
            <w:r w:rsidRPr="00FB00FD">
              <w:rPr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0F1A31B0" w14:textId="77777777" w:rsidR="0098020D" w:rsidRPr="00FB00FD" w:rsidRDefault="0098020D" w:rsidP="00DE24B8">
            <w:pPr>
              <w:spacing w:after="160"/>
              <w:rPr>
                <w:b/>
                <w:bCs/>
              </w:rPr>
            </w:pPr>
            <w:r w:rsidRPr="00FB00FD">
              <w:rPr>
                <w:b/>
                <w:bCs/>
              </w:rPr>
              <w:t>Timeline</w:t>
            </w:r>
          </w:p>
        </w:tc>
        <w:tc>
          <w:tcPr>
            <w:tcW w:w="0" w:type="auto"/>
            <w:hideMark/>
          </w:tcPr>
          <w:p w14:paraId="7AF0F89D" w14:textId="77777777" w:rsidR="0098020D" w:rsidRPr="00FB00FD" w:rsidRDefault="0098020D" w:rsidP="00DE24B8">
            <w:pPr>
              <w:spacing w:after="160"/>
              <w:rPr>
                <w:b/>
                <w:bCs/>
              </w:rPr>
            </w:pPr>
            <w:r w:rsidRPr="00FB00FD">
              <w:rPr>
                <w:b/>
                <w:bCs/>
              </w:rPr>
              <w:t>Action</w:t>
            </w:r>
          </w:p>
        </w:tc>
      </w:tr>
      <w:tr w:rsidR="0098020D" w:rsidRPr="00FB00FD" w14:paraId="01E5F73D" w14:textId="77777777" w:rsidTr="00DE24B8">
        <w:tc>
          <w:tcPr>
            <w:tcW w:w="0" w:type="auto"/>
          </w:tcPr>
          <w:p w14:paraId="56FFC530" w14:textId="08C3ECE8" w:rsidR="0098020D" w:rsidRPr="00FB00FD" w:rsidRDefault="0098020D" w:rsidP="00DE24B8">
            <w:pPr>
              <w:rPr>
                <w:b/>
                <w:bCs/>
              </w:rPr>
            </w:pPr>
            <w:r>
              <w:rPr>
                <w:b/>
                <w:bCs/>
              </w:rPr>
              <w:t>1. Amendment Plan Feedback</w:t>
            </w:r>
          </w:p>
        </w:tc>
        <w:tc>
          <w:tcPr>
            <w:tcW w:w="0" w:type="auto"/>
          </w:tcPr>
          <w:p w14:paraId="2D3CA365" w14:textId="41F906F0" w:rsidR="0098020D" w:rsidRPr="00FB00FD" w:rsidRDefault="0098020D" w:rsidP="00DE24B8">
            <w:r w:rsidRPr="00FB00FD">
              <w:t>Within 2 weeks</w:t>
            </w:r>
          </w:p>
        </w:tc>
        <w:tc>
          <w:tcPr>
            <w:tcW w:w="0" w:type="auto"/>
          </w:tcPr>
          <w:p w14:paraId="0A55352F" w14:textId="5CC22156" w:rsidR="0098020D" w:rsidRPr="0098020D" w:rsidRDefault="0098020D" w:rsidP="00DE24B8">
            <w:r w:rsidRPr="0098020D">
              <w:t>Share Amendment Plan with Community and Get feedback via email and/or a virtual meeting (if requested)</w:t>
            </w:r>
          </w:p>
        </w:tc>
      </w:tr>
      <w:tr w:rsidR="0098020D" w:rsidRPr="00FB00FD" w14:paraId="61884A1E" w14:textId="77777777" w:rsidTr="00DE24B8">
        <w:tc>
          <w:tcPr>
            <w:tcW w:w="0" w:type="auto"/>
            <w:hideMark/>
          </w:tcPr>
          <w:p w14:paraId="56909CDC" w14:textId="20340165" w:rsidR="0098020D" w:rsidRPr="00FB00FD" w:rsidRDefault="0098020D" w:rsidP="00DE24B8">
            <w:pPr>
              <w:spacing w:after="160"/>
            </w:pPr>
            <w:r>
              <w:rPr>
                <w:b/>
                <w:bCs/>
              </w:rPr>
              <w:t>2</w:t>
            </w:r>
            <w:r w:rsidRPr="00FB00FD">
              <w:rPr>
                <w:b/>
                <w:bCs/>
              </w:rPr>
              <w:t>. Board Review with Counsel</w:t>
            </w:r>
          </w:p>
        </w:tc>
        <w:tc>
          <w:tcPr>
            <w:tcW w:w="0" w:type="auto"/>
            <w:hideMark/>
          </w:tcPr>
          <w:p w14:paraId="04DE7F0A" w14:textId="15C29C35" w:rsidR="0098020D" w:rsidRPr="00FB00FD" w:rsidRDefault="0098020D" w:rsidP="00DE24B8">
            <w:pPr>
              <w:spacing w:after="160"/>
            </w:pPr>
            <w:r>
              <w:t>1 week</w:t>
            </w:r>
          </w:p>
        </w:tc>
        <w:tc>
          <w:tcPr>
            <w:tcW w:w="0" w:type="auto"/>
            <w:hideMark/>
          </w:tcPr>
          <w:p w14:paraId="66BC5150" w14:textId="77777777" w:rsidR="0098020D" w:rsidRPr="00FB00FD" w:rsidRDefault="0098020D" w:rsidP="00DE24B8">
            <w:pPr>
              <w:spacing w:after="160"/>
            </w:pPr>
            <w:r w:rsidRPr="00FB00FD">
              <w:t>Meet with Altitude to review this list; prioritize edits needing legal language.</w:t>
            </w:r>
          </w:p>
        </w:tc>
      </w:tr>
      <w:tr w:rsidR="0098020D" w:rsidRPr="00FB00FD" w14:paraId="526B82FD" w14:textId="77777777" w:rsidTr="00DE24B8">
        <w:tc>
          <w:tcPr>
            <w:tcW w:w="0" w:type="auto"/>
            <w:hideMark/>
          </w:tcPr>
          <w:p w14:paraId="44905BDB" w14:textId="3524D7F0" w:rsidR="0098020D" w:rsidRPr="00FB00FD" w:rsidRDefault="0098020D" w:rsidP="00DE24B8">
            <w:pPr>
              <w:spacing w:after="160"/>
            </w:pPr>
            <w:r>
              <w:rPr>
                <w:b/>
                <w:bCs/>
              </w:rPr>
              <w:t>3</w:t>
            </w:r>
            <w:r w:rsidRPr="00FB00FD">
              <w:rPr>
                <w:b/>
                <w:bCs/>
              </w:rPr>
              <w:t>. Draft Revisions</w:t>
            </w:r>
          </w:p>
        </w:tc>
        <w:tc>
          <w:tcPr>
            <w:tcW w:w="0" w:type="auto"/>
            <w:hideMark/>
          </w:tcPr>
          <w:p w14:paraId="7120BD2B" w14:textId="77777777" w:rsidR="0098020D" w:rsidRPr="00FB00FD" w:rsidRDefault="0098020D" w:rsidP="00DE24B8">
            <w:pPr>
              <w:spacing w:after="160"/>
            </w:pPr>
            <w:r w:rsidRPr="00FB00FD">
              <w:t>2–3 weeks</w:t>
            </w:r>
          </w:p>
        </w:tc>
        <w:tc>
          <w:tcPr>
            <w:tcW w:w="0" w:type="auto"/>
            <w:hideMark/>
          </w:tcPr>
          <w:p w14:paraId="100607F2" w14:textId="77777777" w:rsidR="0098020D" w:rsidRPr="00FB00FD" w:rsidRDefault="0098020D" w:rsidP="00DE24B8">
            <w:pPr>
              <w:spacing w:after="160"/>
            </w:pPr>
            <w:r w:rsidRPr="00FB00FD">
              <w:t>Altitude prepares consolidated redline for all three documents.</w:t>
            </w:r>
          </w:p>
        </w:tc>
      </w:tr>
      <w:tr w:rsidR="0098020D" w:rsidRPr="00FB00FD" w14:paraId="3F16C4CB" w14:textId="77777777" w:rsidTr="00DE24B8">
        <w:tc>
          <w:tcPr>
            <w:tcW w:w="0" w:type="auto"/>
            <w:hideMark/>
          </w:tcPr>
          <w:p w14:paraId="018D06F8" w14:textId="0CBA6549" w:rsidR="0098020D" w:rsidRPr="00FB00FD" w:rsidRDefault="0098020D" w:rsidP="00DE24B8">
            <w:pPr>
              <w:spacing w:after="160"/>
            </w:pPr>
            <w:r>
              <w:rPr>
                <w:b/>
                <w:bCs/>
              </w:rPr>
              <w:t>4</w:t>
            </w:r>
            <w:r w:rsidRPr="00FB00FD">
              <w:rPr>
                <w:b/>
                <w:bCs/>
              </w:rPr>
              <w:t>. Board Approval of Redline</w:t>
            </w:r>
          </w:p>
        </w:tc>
        <w:tc>
          <w:tcPr>
            <w:tcW w:w="0" w:type="auto"/>
            <w:hideMark/>
          </w:tcPr>
          <w:p w14:paraId="1A511084" w14:textId="52B54E40" w:rsidR="0098020D" w:rsidRPr="00FB00FD" w:rsidRDefault="0098020D" w:rsidP="00DE24B8">
            <w:pPr>
              <w:spacing w:after="160"/>
            </w:pPr>
            <w:r>
              <w:t>Immediate</w:t>
            </w:r>
          </w:p>
        </w:tc>
        <w:tc>
          <w:tcPr>
            <w:tcW w:w="0" w:type="auto"/>
            <w:hideMark/>
          </w:tcPr>
          <w:p w14:paraId="32F3692D" w14:textId="77777777" w:rsidR="0098020D" w:rsidRPr="00FB00FD" w:rsidRDefault="0098020D" w:rsidP="00DE24B8">
            <w:pPr>
              <w:spacing w:after="160"/>
            </w:pPr>
            <w:r w:rsidRPr="00FB00FD">
              <w:t>Board votes to approve revisions and posts annotated summary to homeowners.</w:t>
            </w:r>
          </w:p>
        </w:tc>
      </w:tr>
      <w:tr w:rsidR="0098020D" w:rsidRPr="00FB00FD" w14:paraId="5DEBABC8" w14:textId="77777777" w:rsidTr="00DE24B8">
        <w:tc>
          <w:tcPr>
            <w:tcW w:w="0" w:type="auto"/>
            <w:hideMark/>
          </w:tcPr>
          <w:p w14:paraId="67886EFB" w14:textId="6983FC37" w:rsidR="0098020D" w:rsidRPr="00FB00FD" w:rsidRDefault="0098020D" w:rsidP="00DE24B8">
            <w:pPr>
              <w:spacing w:after="160"/>
            </w:pPr>
            <w:r>
              <w:rPr>
                <w:b/>
                <w:bCs/>
              </w:rPr>
              <w:t>5</w:t>
            </w:r>
            <w:r w:rsidRPr="00FB00FD">
              <w:rPr>
                <w:b/>
                <w:bCs/>
              </w:rPr>
              <w:t>. Homeowner Review Period</w:t>
            </w:r>
          </w:p>
        </w:tc>
        <w:tc>
          <w:tcPr>
            <w:tcW w:w="0" w:type="auto"/>
            <w:hideMark/>
          </w:tcPr>
          <w:p w14:paraId="7816837F" w14:textId="6BB13AA0" w:rsidR="0098020D" w:rsidRPr="00FB00FD" w:rsidRDefault="0098020D" w:rsidP="00DE24B8">
            <w:pPr>
              <w:spacing w:after="160"/>
            </w:pPr>
            <w:r>
              <w:t>1</w:t>
            </w:r>
            <w:r w:rsidRPr="00FB00FD">
              <w:t xml:space="preserve"> week</w:t>
            </w:r>
          </w:p>
        </w:tc>
        <w:tc>
          <w:tcPr>
            <w:tcW w:w="0" w:type="auto"/>
            <w:hideMark/>
          </w:tcPr>
          <w:p w14:paraId="12BFAA0F" w14:textId="77777777" w:rsidR="0098020D" w:rsidRPr="00FB00FD" w:rsidRDefault="0098020D" w:rsidP="00DE24B8">
            <w:pPr>
              <w:spacing w:after="160"/>
            </w:pPr>
            <w:r w:rsidRPr="00FB00FD">
              <w:t>Share final drafts and “What Changed &amp; Why” sheet; open Q&amp;A window.</w:t>
            </w:r>
          </w:p>
        </w:tc>
      </w:tr>
      <w:tr w:rsidR="0098020D" w:rsidRPr="00FB00FD" w14:paraId="4707BC2B" w14:textId="77777777" w:rsidTr="00DE24B8">
        <w:tc>
          <w:tcPr>
            <w:tcW w:w="0" w:type="auto"/>
            <w:hideMark/>
          </w:tcPr>
          <w:p w14:paraId="352A098C" w14:textId="621493A3" w:rsidR="0098020D" w:rsidRPr="00FB00FD" w:rsidRDefault="0098020D" w:rsidP="00DE24B8">
            <w:pPr>
              <w:spacing w:after="160"/>
            </w:pPr>
            <w:r>
              <w:rPr>
                <w:b/>
                <w:bCs/>
              </w:rPr>
              <w:t>6</w:t>
            </w:r>
            <w:r w:rsidRPr="00FB00FD">
              <w:rPr>
                <w:b/>
                <w:bCs/>
              </w:rPr>
              <w:t>. Ballot Distribution &amp; Voting</w:t>
            </w:r>
          </w:p>
        </w:tc>
        <w:tc>
          <w:tcPr>
            <w:tcW w:w="0" w:type="auto"/>
            <w:hideMark/>
          </w:tcPr>
          <w:p w14:paraId="28BD1D4C" w14:textId="77777777" w:rsidR="0098020D" w:rsidRPr="00FB00FD" w:rsidRDefault="0098020D" w:rsidP="00DE24B8">
            <w:pPr>
              <w:spacing w:after="160"/>
            </w:pPr>
            <w:r w:rsidRPr="00FB00FD">
              <w:t>Late November</w:t>
            </w:r>
          </w:p>
        </w:tc>
        <w:tc>
          <w:tcPr>
            <w:tcW w:w="0" w:type="auto"/>
            <w:hideMark/>
          </w:tcPr>
          <w:p w14:paraId="7A19B37D" w14:textId="77777777" w:rsidR="0098020D" w:rsidRPr="00FB00FD" w:rsidRDefault="0098020D" w:rsidP="00DE24B8">
            <w:pPr>
              <w:spacing w:after="160"/>
            </w:pPr>
            <w:r w:rsidRPr="00FB00FD">
              <w:t>Distribute written ballots with clear thresholds and proxy instructions.</w:t>
            </w:r>
          </w:p>
        </w:tc>
      </w:tr>
      <w:tr w:rsidR="0098020D" w:rsidRPr="00FB00FD" w14:paraId="605B5257" w14:textId="77777777" w:rsidTr="00DE24B8">
        <w:tc>
          <w:tcPr>
            <w:tcW w:w="0" w:type="auto"/>
            <w:hideMark/>
          </w:tcPr>
          <w:p w14:paraId="0ECA9DE8" w14:textId="1ED3B8C1" w:rsidR="0098020D" w:rsidRPr="00FB00FD" w:rsidRDefault="0098020D" w:rsidP="00DE24B8">
            <w:pPr>
              <w:spacing w:after="160"/>
            </w:pPr>
            <w:r>
              <w:rPr>
                <w:b/>
                <w:bCs/>
              </w:rPr>
              <w:t>7</w:t>
            </w:r>
            <w:r w:rsidRPr="00FB00FD">
              <w:rPr>
                <w:b/>
                <w:bCs/>
              </w:rPr>
              <w:t>. Adoption &amp; Recordation</w:t>
            </w:r>
          </w:p>
        </w:tc>
        <w:tc>
          <w:tcPr>
            <w:tcW w:w="0" w:type="auto"/>
            <w:hideMark/>
          </w:tcPr>
          <w:p w14:paraId="0E18906C" w14:textId="77777777" w:rsidR="0098020D" w:rsidRPr="00FB00FD" w:rsidRDefault="0098020D" w:rsidP="00DE24B8">
            <w:pPr>
              <w:spacing w:after="160"/>
            </w:pPr>
            <w:r w:rsidRPr="00FB00FD">
              <w:t>December</w:t>
            </w:r>
          </w:p>
        </w:tc>
        <w:tc>
          <w:tcPr>
            <w:tcW w:w="0" w:type="auto"/>
            <w:hideMark/>
          </w:tcPr>
          <w:p w14:paraId="5F69291E" w14:textId="77777777" w:rsidR="0098020D" w:rsidRPr="00FB00FD" w:rsidRDefault="0098020D" w:rsidP="00DE24B8">
            <w:pPr>
              <w:spacing w:after="160"/>
            </w:pPr>
            <w:r w:rsidRPr="00FB00FD">
              <w:t>File approved documents with Jefferson County Clerk &amp; Recorder.</w:t>
            </w:r>
          </w:p>
        </w:tc>
      </w:tr>
      <w:tr w:rsidR="0098020D" w:rsidRPr="00FB00FD" w14:paraId="6D901B78" w14:textId="77777777" w:rsidTr="00DE24B8">
        <w:tc>
          <w:tcPr>
            <w:tcW w:w="0" w:type="auto"/>
            <w:hideMark/>
          </w:tcPr>
          <w:p w14:paraId="2A72C9C5" w14:textId="72544900" w:rsidR="0098020D" w:rsidRPr="00FB00FD" w:rsidRDefault="0098020D" w:rsidP="00DE24B8">
            <w:pPr>
              <w:spacing w:after="160"/>
            </w:pPr>
            <w:r>
              <w:rPr>
                <w:b/>
                <w:bCs/>
              </w:rPr>
              <w:t>8</w:t>
            </w:r>
            <w:r w:rsidRPr="00FB00FD">
              <w:rPr>
                <w:b/>
                <w:bCs/>
              </w:rPr>
              <w:t>. Post-Adoption Education</w:t>
            </w:r>
          </w:p>
        </w:tc>
        <w:tc>
          <w:tcPr>
            <w:tcW w:w="0" w:type="auto"/>
            <w:hideMark/>
          </w:tcPr>
          <w:p w14:paraId="10B34F34" w14:textId="77777777" w:rsidR="0098020D" w:rsidRPr="00FB00FD" w:rsidRDefault="0098020D" w:rsidP="00DE24B8">
            <w:pPr>
              <w:spacing w:after="160"/>
            </w:pPr>
            <w:r w:rsidRPr="00FB00FD">
              <w:t>January</w:t>
            </w:r>
          </w:p>
        </w:tc>
        <w:tc>
          <w:tcPr>
            <w:tcW w:w="0" w:type="auto"/>
            <w:hideMark/>
          </w:tcPr>
          <w:p w14:paraId="49F2400D" w14:textId="77777777" w:rsidR="0098020D" w:rsidRPr="00FB00FD" w:rsidRDefault="0098020D" w:rsidP="00DE24B8">
            <w:pPr>
              <w:spacing w:after="160"/>
            </w:pPr>
            <w:r w:rsidRPr="00FB00FD">
              <w:t>Publish homeowner FAQ and quick-reference guides (vehicles, sheds, signs, nuisances).</w:t>
            </w:r>
          </w:p>
        </w:tc>
      </w:tr>
    </w:tbl>
    <w:p w14:paraId="2E84BBE9" w14:textId="77777777" w:rsidR="00B57756" w:rsidRDefault="00B57756"/>
    <w:sectPr w:rsidR="00B57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0BDF"/>
    <w:multiLevelType w:val="multilevel"/>
    <w:tmpl w:val="3244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85857"/>
    <w:multiLevelType w:val="multilevel"/>
    <w:tmpl w:val="A884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210C7"/>
    <w:multiLevelType w:val="hybridMultilevel"/>
    <w:tmpl w:val="8B301676"/>
    <w:lvl w:ilvl="0" w:tplc="48D2F1B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4E7A"/>
    <w:multiLevelType w:val="multilevel"/>
    <w:tmpl w:val="DE86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72CAF"/>
    <w:multiLevelType w:val="multilevel"/>
    <w:tmpl w:val="FCBC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F3C84"/>
    <w:multiLevelType w:val="multilevel"/>
    <w:tmpl w:val="B90A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B3AEA"/>
    <w:multiLevelType w:val="multilevel"/>
    <w:tmpl w:val="E16A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B70ED"/>
    <w:multiLevelType w:val="multilevel"/>
    <w:tmpl w:val="F9A8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62F37"/>
    <w:multiLevelType w:val="multilevel"/>
    <w:tmpl w:val="0296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4B2509"/>
    <w:multiLevelType w:val="multilevel"/>
    <w:tmpl w:val="F880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E6C97"/>
    <w:multiLevelType w:val="multilevel"/>
    <w:tmpl w:val="7138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E7241"/>
    <w:multiLevelType w:val="multilevel"/>
    <w:tmpl w:val="E8A6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ED0680"/>
    <w:multiLevelType w:val="multilevel"/>
    <w:tmpl w:val="F74A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B22665"/>
    <w:multiLevelType w:val="multilevel"/>
    <w:tmpl w:val="50F0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9220A"/>
    <w:multiLevelType w:val="multilevel"/>
    <w:tmpl w:val="38A0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95E33"/>
    <w:multiLevelType w:val="multilevel"/>
    <w:tmpl w:val="3E46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AB1403"/>
    <w:multiLevelType w:val="multilevel"/>
    <w:tmpl w:val="D432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1694D"/>
    <w:multiLevelType w:val="multilevel"/>
    <w:tmpl w:val="F746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A6081"/>
    <w:multiLevelType w:val="multilevel"/>
    <w:tmpl w:val="059A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2386D"/>
    <w:multiLevelType w:val="multilevel"/>
    <w:tmpl w:val="C0EA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EE4908"/>
    <w:multiLevelType w:val="multilevel"/>
    <w:tmpl w:val="FEFA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F83049"/>
    <w:multiLevelType w:val="multilevel"/>
    <w:tmpl w:val="4714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901410"/>
    <w:multiLevelType w:val="multilevel"/>
    <w:tmpl w:val="CF8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212E76"/>
    <w:multiLevelType w:val="multilevel"/>
    <w:tmpl w:val="54E4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974299"/>
    <w:multiLevelType w:val="multilevel"/>
    <w:tmpl w:val="45C2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036742"/>
    <w:multiLevelType w:val="multilevel"/>
    <w:tmpl w:val="5D6A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9B6355"/>
    <w:multiLevelType w:val="multilevel"/>
    <w:tmpl w:val="16C6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B71BBC"/>
    <w:multiLevelType w:val="multilevel"/>
    <w:tmpl w:val="55A2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FB2286"/>
    <w:multiLevelType w:val="multilevel"/>
    <w:tmpl w:val="43C0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704E35"/>
    <w:multiLevelType w:val="multilevel"/>
    <w:tmpl w:val="FC70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4B0BCD"/>
    <w:multiLevelType w:val="multilevel"/>
    <w:tmpl w:val="C646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B46B88"/>
    <w:multiLevelType w:val="multilevel"/>
    <w:tmpl w:val="0444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226D4B"/>
    <w:multiLevelType w:val="multilevel"/>
    <w:tmpl w:val="42A4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FC1E2E"/>
    <w:multiLevelType w:val="multilevel"/>
    <w:tmpl w:val="08D0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4A50BA"/>
    <w:multiLevelType w:val="multilevel"/>
    <w:tmpl w:val="8F40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D6247C"/>
    <w:multiLevelType w:val="multilevel"/>
    <w:tmpl w:val="E1DE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042761"/>
    <w:multiLevelType w:val="multilevel"/>
    <w:tmpl w:val="B880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FB3FFB"/>
    <w:multiLevelType w:val="multilevel"/>
    <w:tmpl w:val="93DC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911F33"/>
    <w:multiLevelType w:val="multilevel"/>
    <w:tmpl w:val="24EA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AC2DF0"/>
    <w:multiLevelType w:val="multilevel"/>
    <w:tmpl w:val="3C5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D01AF0"/>
    <w:multiLevelType w:val="multilevel"/>
    <w:tmpl w:val="31A2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584847"/>
    <w:multiLevelType w:val="multilevel"/>
    <w:tmpl w:val="091E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9E70A5"/>
    <w:multiLevelType w:val="multilevel"/>
    <w:tmpl w:val="95A4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663468"/>
    <w:multiLevelType w:val="multilevel"/>
    <w:tmpl w:val="7326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26329">
    <w:abstractNumId w:val="19"/>
  </w:num>
  <w:num w:numId="2" w16cid:durableId="1361515622">
    <w:abstractNumId w:val="37"/>
  </w:num>
  <w:num w:numId="3" w16cid:durableId="38481070">
    <w:abstractNumId w:val="13"/>
  </w:num>
  <w:num w:numId="4" w16cid:durableId="588777846">
    <w:abstractNumId w:val="26"/>
  </w:num>
  <w:num w:numId="5" w16cid:durableId="860121731">
    <w:abstractNumId w:val="8"/>
  </w:num>
  <w:num w:numId="6" w16cid:durableId="571042535">
    <w:abstractNumId w:val="39"/>
  </w:num>
  <w:num w:numId="7" w16cid:durableId="222520632">
    <w:abstractNumId w:val="36"/>
  </w:num>
  <w:num w:numId="8" w16cid:durableId="131563232">
    <w:abstractNumId w:val="22"/>
  </w:num>
  <w:num w:numId="9" w16cid:durableId="634605909">
    <w:abstractNumId w:val="12"/>
  </w:num>
  <w:num w:numId="10" w16cid:durableId="1762679871">
    <w:abstractNumId w:val="38"/>
  </w:num>
  <w:num w:numId="11" w16cid:durableId="272369657">
    <w:abstractNumId w:val="3"/>
  </w:num>
  <w:num w:numId="12" w16cid:durableId="1161503984">
    <w:abstractNumId w:val="6"/>
  </w:num>
  <w:num w:numId="13" w16cid:durableId="1482036513">
    <w:abstractNumId w:val="25"/>
  </w:num>
  <w:num w:numId="14" w16cid:durableId="1889952439">
    <w:abstractNumId w:val="23"/>
  </w:num>
  <w:num w:numId="15" w16cid:durableId="900795141">
    <w:abstractNumId w:val="17"/>
  </w:num>
  <w:num w:numId="16" w16cid:durableId="677270131">
    <w:abstractNumId w:val="31"/>
  </w:num>
  <w:num w:numId="17" w16cid:durableId="1083258900">
    <w:abstractNumId w:val="16"/>
  </w:num>
  <w:num w:numId="18" w16cid:durableId="513349683">
    <w:abstractNumId w:val="35"/>
  </w:num>
  <w:num w:numId="19" w16cid:durableId="189615078">
    <w:abstractNumId w:val="4"/>
  </w:num>
  <w:num w:numId="20" w16cid:durableId="584848345">
    <w:abstractNumId w:val="0"/>
  </w:num>
  <w:num w:numId="21" w16cid:durableId="646789095">
    <w:abstractNumId w:val="11"/>
  </w:num>
  <w:num w:numId="22" w16cid:durableId="740643807">
    <w:abstractNumId w:val="28"/>
  </w:num>
  <w:num w:numId="23" w16cid:durableId="1065954874">
    <w:abstractNumId w:val="24"/>
  </w:num>
  <w:num w:numId="24" w16cid:durableId="423693368">
    <w:abstractNumId w:val="10"/>
  </w:num>
  <w:num w:numId="25" w16cid:durableId="1505705193">
    <w:abstractNumId w:val="32"/>
  </w:num>
  <w:num w:numId="26" w16cid:durableId="2042365622">
    <w:abstractNumId w:val="41"/>
  </w:num>
  <w:num w:numId="27" w16cid:durableId="1056391273">
    <w:abstractNumId w:val="9"/>
  </w:num>
  <w:num w:numId="28" w16cid:durableId="1609772383">
    <w:abstractNumId w:val="14"/>
  </w:num>
  <w:num w:numId="29" w16cid:durableId="1324774817">
    <w:abstractNumId w:val="27"/>
  </w:num>
  <w:num w:numId="30" w16cid:durableId="1833133444">
    <w:abstractNumId w:val="1"/>
  </w:num>
  <w:num w:numId="31" w16cid:durableId="1805198817">
    <w:abstractNumId w:val="21"/>
  </w:num>
  <w:num w:numId="32" w16cid:durableId="946423341">
    <w:abstractNumId w:val="15"/>
  </w:num>
  <w:num w:numId="33" w16cid:durableId="800919888">
    <w:abstractNumId w:val="30"/>
  </w:num>
  <w:num w:numId="34" w16cid:durableId="409230030">
    <w:abstractNumId w:val="29"/>
  </w:num>
  <w:num w:numId="35" w16cid:durableId="892620039">
    <w:abstractNumId w:val="33"/>
  </w:num>
  <w:num w:numId="36" w16cid:durableId="1465737758">
    <w:abstractNumId w:val="34"/>
  </w:num>
  <w:num w:numId="37" w16cid:durableId="1509713080">
    <w:abstractNumId w:val="40"/>
  </w:num>
  <w:num w:numId="38" w16cid:durableId="338508954">
    <w:abstractNumId w:val="20"/>
  </w:num>
  <w:num w:numId="39" w16cid:durableId="1963263999">
    <w:abstractNumId w:val="7"/>
  </w:num>
  <w:num w:numId="40" w16cid:durableId="706292641">
    <w:abstractNumId w:val="42"/>
  </w:num>
  <w:num w:numId="41" w16cid:durableId="1575698591">
    <w:abstractNumId w:val="43"/>
  </w:num>
  <w:num w:numId="42" w16cid:durableId="365058849">
    <w:abstractNumId w:val="5"/>
  </w:num>
  <w:num w:numId="43" w16cid:durableId="549269363">
    <w:abstractNumId w:val="18"/>
  </w:num>
  <w:num w:numId="44" w16cid:durableId="1034497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D"/>
    <w:rsid w:val="00162D83"/>
    <w:rsid w:val="00180648"/>
    <w:rsid w:val="004F3827"/>
    <w:rsid w:val="0098020D"/>
    <w:rsid w:val="00B57756"/>
    <w:rsid w:val="00C27278"/>
    <w:rsid w:val="00FD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9338"/>
  <w15:chartTrackingRefBased/>
  <w15:docId w15:val="{C20B37F3-5D6E-B945-8762-D0D5CDC2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20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2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020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62D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2053</Words>
  <Characters>11708</Characters>
  <Application>Microsoft Office Word</Application>
  <DocSecurity>0</DocSecurity>
  <Lines>97</Lines>
  <Paragraphs>27</Paragraphs>
  <ScaleCrop>false</ScaleCrop>
  <Company/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Joby Schaffer</dc:creator>
  <cp:keywords/>
  <dc:description/>
  <cp:lastModifiedBy>Joby Schaffer</cp:lastModifiedBy>
  <cp:revision>3</cp:revision>
  <dcterms:created xsi:type="dcterms:W3CDTF">2025-10-10T23:15:00Z</dcterms:created>
  <dcterms:modified xsi:type="dcterms:W3CDTF">2025-10-12T16:50:00Z</dcterms:modified>
</cp:coreProperties>
</file>